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楷体_GBK" w:cs="方正楷体_GBK"/>
          <w:sz w:val="32"/>
          <w:szCs w:val="40"/>
          <w:lang w:val="en-US" w:eastAsia="zh-CN"/>
        </w:rPr>
      </w:pPr>
    </w:p>
    <w:p>
      <w:pPr>
        <w:jc w:val="center"/>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晋金办〔2022〕1号</w:t>
      </w:r>
    </w:p>
    <w:p>
      <w:pPr>
        <w:pStyle w:val="2"/>
        <w:rPr>
          <w:rFonts w:hint="eastAsia" w:ascii="Times New Roman" w:hAnsi="Times New Roman" w:eastAsia="方正楷体_GBK" w:cs="方正楷体_GBK"/>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关于印发《山西省</w:t>
      </w:r>
      <w:r>
        <w:rPr>
          <w:rFonts w:hint="eastAsia" w:ascii="Times New Roman" w:hAnsi="Times New Roman" w:eastAsia="方正小标宋简体" w:cs="方正小标宋简体"/>
          <w:sz w:val="44"/>
          <w:szCs w:val="44"/>
        </w:rPr>
        <w:t>金融系统助力加快复工复产和服务业复苏</w:t>
      </w:r>
      <w:r>
        <w:rPr>
          <w:rFonts w:hint="eastAsia" w:ascii="Times New Roman" w:hAnsi="Times New Roman" w:eastAsia="方正小标宋简体" w:cs="方正小标宋简体"/>
          <w:sz w:val="44"/>
          <w:szCs w:val="44"/>
          <w:lang w:val="en-US" w:eastAsia="zh-CN"/>
        </w:rPr>
        <w:t>若干措施》的通知</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各市金融办、人民银行山西各市中心支行、各银保监分局，各金融机构：</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现将《山西省金融系统助力加快复工复产和服务业复苏若干措施》印发给你们，请遵照执行。</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方正仿宋_GBK"/>
          <w:sz w:val="32"/>
          <w:szCs w:val="40"/>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附件：山西省金融系统助力加快复工复产和服务业复苏</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1600" w:firstLineChars="500"/>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若干措施</w:t>
      </w:r>
    </w:p>
    <w:p>
      <w:pPr>
        <w:pStyle w:val="3"/>
        <w:keepNext w:val="0"/>
        <w:keepLines w:val="0"/>
        <w:pageBreakBefore w:val="0"/>
        <w:widowControl w:val="0"/>
        <w:kinsoku/>
        <w:wordWrap/>
        <w:overflowPunct/>
        <w:topLinePunct w:val="0"/>
        <w:autoSpaceDE/>
        <w:autoSpaceDN/>
        <w:bidi w:val="0"/>
        <w:adjustRightInd/>
        <w:snapToGrid w:val="0"/>
        <w:spacing w:line="600" w:lineRule="exact"/>
        <w:ind w:firstLine="420"/>
        <w:jc w:val="right"/>
        <w:textAlignment w:val="auto"/>
        <w:rPr>
          <w:rFonts w:hint="eastAsia" w:ascii="Times New Roman" w:hAnsi="Times New Roman" w:eastAsia="方正仿宋_GBK" w:cs="方正仿宋_GBK"/>
          <w:sz w:val="32"/>
          <w:szCs w:val="40"/>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600" w:lineRule="exact"/>
        <w:ind w:firstLine="420"/>
        <w:jc w:val="right"/>
        <w:textAlignment w:val="auto"/>
        <w:rPr>
          <w:rFonts w:hint="eastAsia" w:ascii="Times New Roman" w:hAnsi="Times New Roman" w:eastAsia="方正仿宋_GBK" w:cs="方正仿宋_GBK"/>
          <w:sz w:val="32"/>
          <w:szCs w:val="40"/>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600" w:lineRule="exact"/>
        <w:ind w:firstLine="420"/>
        <w:jc w:val="right"/>
        <w:textAlignment w:val="auto"/>
        <w:rPr>
          <w:rFonts w:hint="eastAsia" w:ascii="Times New Roman" w:hAnsi="Times New Roman" w:eastAsia="方正仿宋_GBK" w:cs="方正仿宋_GBK"/>
          <w:sz w:val="32"/>
          <w:szCs w:val="40"/>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righ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省金融办       人民银行太原中心支行</w:t>
      </w: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righ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中国银保监会山西监管局   山西证监局</w:t>
      </w:r>
    </w:p>
    <w:p>
      <w:pPr>
        <w:pStyle w:val="3"/>
        <w:keepNext w:val="0"/>
        <w:keepLines w:val="0"/>
        <w:pageBreakBefore w:val="0"/>
        <w:widowControl w:val="0"/>
        <w:kinsoku/>
        <w:wordWrap w:val="0"/>
        <w:overflowPunct/>
        <w:topLinePunct w:val="0"/>
        <w:autoSpaceDE/>
        <w:autoSpaceDN/>
        <w:bidi w:val="0"/>
        <w:adjustRightInd/>
        <w:snapToGrid w:val="0"/>
        <w:spacing w:line="600" w:lineRule="exact"/>
        <w:ind w:firstLine="420"/>
        <w:jc w:val="righ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2022年12月15日</w:t>
      </w:r>
    </w:p>
    <w:p>
      <w:pPr>
        <w:pStyle w:val="3"/>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Times New Roman" w:hAnsi="Times New Roman" w:eastAsia="方正仿宋_GBK" w:cs="方正仿宋_GBK"/>
          <w:sz w:val="32"/>
          <w:szCs w:val="40"/>
          <w:lang w:val="en-US" w:eastAsia="zh-CN"/>
        </w:rPr>
      </w:pPr>
    </w:p>
    <w:p>
      <w:pPr>
        <w:pStyle w:val="3"/>
        <w:keepNext w:val="0"/>
        <w:keepLines w:val="0"/>
        <w:pageBreakBefore w:val="0"/>
        <w:widowControl w:val="0"/>
        <w:kinsoku/>
        <w:wordWrap/>
        <w:overflowPunct/>
        <w:topLinePunct w:val="0"/>
        <w:autoSpaceDE/>
        <w:autoSpaceDN/>
        <w:bidi w:val="0"/>
        <w:adjustRightInd/>
        <w:snapToGrid w:val="0"/>
        <w:spacing w:line="500" w:lineRule="exact"/>
        <w:ind w:firstLine="42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（此件主动公开）</w:t>
      </w:r>
    </w:p>
    <w:p>
      <w:pPr>
        <w:rPr>
          <w:rFonts w:hint="eastAsia" w:ascii="Times New Roman" w:hAnsi="Times New Roman" w:cs="仿宋_GB2312"/>
          <w:sz w:val="32"/>
          <w:szCs w:val="40"/>
          <w:lang w:val="en-US" w:eastAsia="zh-CN"/>
        </w:rPr>
      </w:pPr>
      <w:r>
        <w:rPr>
          <w:rFonts w:hint="eastAsia" w:ascii="Times New Roman" w:hAnsi="Times New Roman" w:cs="仿宋_GB2312"/>
          <w:sz w:val="32"/>
          <w:szCs w:val="40"/>
          <w:lang w:val="en-US" w:eastAsia="zh-CN"/>
        </w:rPr>
        <w:br w:type="page"/>
      </w:r>
    </w:p>
    <w:p>
      <w:pPr>
        <w:jc w:val="left"/>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w:t>
      </w:r>
    </w:p>
    <w:p>
      <w:pPr>
        <w:jc w:val="center"/>
        <w:rPr>
          <w:rFonts w:hint="eastAsia" w:ascii="Times New Roman" w:hAnsi="Times New Roman"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山西省金融系统助力加快复工复产</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和服务业复苏若干措施</w:t>
      </w:r>
      <w:bookmarkStart w:id="0" w:name="_GoBack"/>
      <w:bookmarkEnd w:id="0"/>
    </w:p>
    <w:p>
      <w:pPr>
        <w:rPr>
          <w:rFonts w:hint="eastAsia" w:ascii="Times New Roman" w:hAnsi="Times New Roman" w:eastAsia="仿宋_GB2312" w:cs="仿宋_GB2312"/>
          <w:sz w:val="44"/>
          <w:szCs w:val="44"/>
          <w:lang w:val="en-US" w:eastAsia="zh-CN"/>
        </w:rPr>
      </w:pPr>
    </w:p>
    <w:p>
      <w:pPr>
        <w:ind w:firstLine="640" w:firstLineChars="200"/>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为精准落实国家优化防疫新十条措施和《山西省加快复工复产和服务业复苏若干措施》，引导全省金融系统统筹做好疫情防控和经济社会发展工作，支持复工复产和服务业复苏，全力巩固经济回升向好趋势，助力经济实现最好结果，制定如下措施。</w:t>
      </w:r>
    </w:p>
    <w:p>
      <w:pPr>
        <w:numPr>
          <w:ilvl w:val="0"/>
          <w:numId w:val="1"/>
        </w:numPr>
        <w:ind w:firstLine="640" w:firstLineChars="200"/>
        <w:rPr>
          <w:rFonts w:hint="eastAsia" w:ascii="Times New Roman" w:hAnsi="Times New Roman" w:eastAsia="方正黑体_GBK" w:cs="方正黑体_GBK"/>
          <w:color w:val="auto"/>
          <w:sz w:val="32"/>
          <w:szCs w:val="40"/>
          <w:lang w:val="en-US" w:eastAsia="zh-CN"/>
        </w:rPr>
      </w:pPr>
      <w:r>
        <w:rPr>
          <w:rFonts w:hint="eastAsia" w:ascii="Times New Roman" w:hAnsi="Times New Roman" w:eastAsia="方正黑体_GBK" w:cs="方正黑体_GBK"/>
          <w:color w:val="auto"/>
          <w:sz w:val="32"/>
          <w:szCs w:val="40"/>
          <w:lang w:val="en-US" w:eastAsia="zh-CN"/>
        </w:rPr>
        <w:t>加大重点领域和薄弱环节信贷支持</w:t>
      </w:r>
    </w:p>
    <w:p>
      <w:pPr>
        <w:numPr>
          <w:ilvl w:val="0"/>
          <w:numId w:val="2"/>
        </w:numPr>
        <w:ind w:firstLine="640" w:firstLineChars="200"/>
        <w:rPr>
          <w:rFonts w:hint="default" w:ascii="Times New Roman" w:hAnsi="Times New Roman" w:eastAsia="仿宋_GB2312" w:cs="仿宋_GB2312"/>
          <w:sz w:val="32"/>
          <w:szCs w:val="40"/>
          <w:lang w:val="en-US" w:eastAsia="zh-CN"/>
        </w:rPr>
      </w:pPr>
      <w:r>
        <w:rPr>
          <w:rFonts w:hint="eastAsia" w:ascii="Times New Roman" w:hAnsi="Times New Roman" w:eastAsia="方正楷体_GBK" w:cs="方正楷体_GBK"/>
          <w:sz w:val="32"/>
          <w:szCs w:val="40"/>
          <w:lang w:val="en-US" w:eastAsia="zh-CN"/>
        </w:rPr>
        <w:t>用足用好各类货币政策工具。</w:t>
      </w:r>
      <w:r>
        <w:rPr>
          <w:rFonts w:hint="eastAsia" w:ascii="Times New Roman" w:hAnsi="Times New Roman" w:eastAsia="方正仿宋_GBK" w:cs="方正仿宋_GBK"/>
          <w:sz w:val="32"/>
          <w:szCs w:val="40"/>
          <w:lang w:val="en-US" w:eastAsia="zh-CN"/>
        </w:rPr>
        <w:t>发挥支农支小再贷款、再贴现、普惠小微贷款支持工具引导撬动作用，指导地方法人金融机构加大对涉农、民营、小微企业等薄弱环节的信贷支持。督促辖内全国性银行分支机构加快企业项目融资对接，推动更多碳减排支持工具、支持煤炭清洁高效利用专项再贷款、交通物流专项再贷款等央行优惠资金落地山西，进一步加大对绿色低碳、能源保供、交通物流等重点领域、重点项目的信贷支持，让政策红利最大限度惠及山西重点行业企业。</w:t>
      </w:r>
      <w:r>
        <w:rPr>
          <w:rFonts w:hint="eastAsia" w:ascii="Times New Roman" w:hAnsi="Times New Roman" w:eastAsia="方正楷体_GBK" w:cs="方正楷体_GBK"/>
          <w:sz w:val="32"/>
          <w:szCs w:val="40"/>
          <w:lang w:val="en-US" w:eastAsia="zh-CN"/>
        </w:rPr>
        <w:t>(责任单位：全省人民银行系统)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落实普惠小微贷款阶段性减息让利政策。</w:t>
      </w:r>
      <w:r>
        <w:rPr>
          <w:rFonts w:hint="eastAsia" w:ascii="Times New Roman" w:hAnsi="Times New Roman" w:eastAsia="方正仿宋_GBK" w:cs="方正仿宋_GBK"/>
          <w:sz w:val="32"/>
          <w:szCs w:val="40"/>
          <w:lang w:val="en-US" w:eastAsia="zh-CN"/>
        </w:rPr>
        <w:t>对2022年第四季度存续、新发放或到期（含延期）的普惠小微贷款，督促各银行业金融机构落实好普惠小微贷款阶段性减息1个百分点（年化）的让利政策。对于利息减免造成的收入减少，人民银行将通过签订利率互换协议的方式对相关金融机构提供补偿。对于四季度新发放普惠小微贷款，不能变相提高利率再减息，合同利率原则上不高于前三季度平均水平。</w:t>
      </w:r>
      <w:r>
        <w:rPr>
          <w:rFonts w:hint="eastAsia" w:ascii="Times New Roman" w:hAnsi="Times New Roman" w:eastAsia="方正楷体_GBK" w:cs="方正楷体_GBK"/>
          <w:sz w:val="32"/>
          <w:szCs w:val="40"/>
          <w:lang w:val="en-US" w:eastAsia="zh-CN"/>
        </w:rPr>
        <w:t>(责任单位：全省人民银行系统)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落实好延期还本付息政策。</w:t>
      </w:r>
      <w:r>
        <w:rPr>
          <w:rFonts w:hint="eastAsia" w:ascii="Times New Roman" w:hAnsi="Times New Roman" w:eastAsia="方正仿宋_GBK" w:cs="方正仿宋_GBK"/>
          <w:sz w:val="32"/>
          <w:szCs w:val="40"/>
          <w:lang w:val="en-US" w:eastAsia="zh-CN"/>
        </w:rPr>
        <w:t>对确有还款意愿和吸纳就业能力、存在临时性经营困难的中小微企业和个体工商户贷款、货车车贷、暂时遇困或失去收入来源的人群，对其存续的住房、消费等贷款，按照市场化原则应延尽延、符合续贷条件企业应续尽续。对延期贷款坚持实质性风险判断，不单独因疫情因素等下调贷款分类，不影响征信记录，并免收罚息。对2022年第四季度到期的小微企业贷款（含个体工商户和小微企业主经营性贷款），鼓励金融机构按照市场化、法治化原则与借款人共同协商延期还本付息，对符合条件的贷款能延尽延、愿延尽延，还本付息日期原则上最长可延至2023年6月30日。延期贷款正常计息，免收罚息，相关征信记录按照与借款人共同协商后的还款安排报送。对落实小微企业贷款延期还本付息政策较好的全国性银行省内分支机构，优先给予再贴现支持。</w:t>
      </w:r>
      <w:r>
        <w:rPr>
          <w:rFonts w:hint="eastAsia" w:ascii="Times New Roman" w:hAnsi="Times New Roman" w:eastAsia="方正楷体_GBK" w:cs="方正楷体_GBK"/>
          <w:sz w:val="32"/>
          <w:szCs w:val="40"/>
          <w:lang w:val="en-US" w:eastAsia="zh-CN"/>
        </w:rPr>
        <w:t>(责任单位：全省银保监系统、全省人民银行系统)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帮助服务业困难行业渡过难关。</w:t>
      </w:r>
      <w:r>
        <w:rPr>
          <w:rFonts w:hint="eastAsia" w:ascii="Times New Roman" w:hAnsi="Times New Roman" w:eastAsia="方正仿宋_GBK" w:cs="方正仿宋_GBK"/>
          <w:sz w:val="32"/>
          <w:szCs w:val="40"/>
          <w:lang w:val="en-US" w:eastAsia="zh-CN"/>
        </w:rPr>
        <w:t>用好普惠小微贷款支持政策和工具，对住宿、餐饮、零售、文化、旅游、交通运输等服务业困难行业，加大金融资源倾斜力度，不盲目抽贷、断贷、压贷。</w:t>
      </w:r>
      <w:r>
        <w:rPr>
          <w:rFonts w:hint="eastAsia" w:ascii="Times New Roman" w:hAnsi="Times New Roman" w:eastAsia="方正楷体_GBK" w:cs="方正楷体_GBK"/>
          <w:sz w:val="32"/>
          <w:szCs w:val="40"/>
          <w:lang w:val="en-US" w:eastAsia="zh-CN"/>
        </w:rPr>
        <w:t>(责任单位：全省银保监系统)</w:t>
      </w:r>
    </w:p>
    <w:p>
      <w:pPr>
        <w:numPr>
          <w:ilvl w:val="0"/>
          <w:numId w:val="1"/>
        </w:numPr>
        <w:ind w:firstLine="640" w:firstLineChars="200"/>
        <w:rPr>
          <w:rFonts w:hint="eastAsia" w:ascii="Times New Roman" w:hAnsi="Times New Roman" w:eastAsia="方正黑体_GBK" w:cs="方正黑体_GBK"/>
          <w:sz w:val="32"/>
          <w:szCs w:val="40"/>
          <w:lang w:val="en-US" w:eastAsia="zh-CN"/>
        </w:rPr>
      </w:pPr>
      <w:r>
        <w:rPr>
          <w:rFonts w:hint="eastAsia" w:ascii="Times New Roman" w:hAnsi="Times New Roman" w:eastAsia="方正黑体_GBK" w:cs="方正黑体_GBK"/>
          <w:sz w:val="32"/>
          <w:szCs w:val="40"/>
          <w:lang w:val="en-US" w:eastAsia="zh-CN"/>
        </w:rPr>
        <w:t>强化金融政策传导落实</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及时召开金融政策研究分析例会。</w:t>
      </w:r>
      <w:r>
        <w:rPr>
          <w:rFonts w:hint="eastAsia" w:ascii="Times New Roman" w:hAnsi="Times New Roman" w:eastAsia="方正仿宋_GBK" w:cs="方正仿宋_GBK"/>
          <w:sz w:val="32"/>
          <w:szCs w:val="40"/>
          <w:lang w:val="en-US" w:eastAsia="zh-CN"/>
        </w:rPr>
        <w:t>研判各项金融政策落地实施情况，协同中央驻晋金融管理部门推动各项货币工具、优惠政策等传导落实，使中央各项金融政策及时准确惠及我省各行各业。</w:t>
      </w:r>
      <w:r>
        <w:rPr>
          <w:rFonts w:hint="eastAsia" w:ascii="Times New Roman" w:hAnsi="Times New Roman" w:eastAsia="方正楷体_GBK" w:cs="方正楷体_GBK"/>
          <w:sz w:val="32"/>
          <w:szCs w:val="40"/>
          <w:lang w:val="en-US" w:eastAsia="zh-CN"/>
        </w:rPr>
        <w:t>(责任单位：全省各级金融管理部门)</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深度开展政银企常态化对接。</w:t>
      </w:r>
      <w:r>
        <w:rPr>
          <w:rFonts w:hint="eastAsia" w:ascii="Times New Roman" w:hAnsi="Times New Roman" w:eastAsia="方正仿宋_GBK" w:cs="方正仿宋_GBK"/>
          <w:sz w:val="32"/>
          <w:szCs w:val="40"/>
          <w:lang w:val="en-US" w:eastAsia="zh-CN"/>
        </w:rPr>
        <w:t>持续开展多产业、多层次、多部门的“线上+线下”政银企对接，推动资金供给端和需求端有效衔接，为全省规上工业企业、文旅企业、中小微企业、涉农企业、重点项目等复工复产提供针对性强、精准度高、获贷速度快的银企融资对接平台。</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仿宋_GB2312" w:cs="仿宋_GB2312"/>
          <w:sz w:val="32"/>
          <w:szCs w:val="40"/>
          <w:lang w:val="en-US" w:eastAsia="zh-CN"/>
        </w:rPr>
      </w:pPr>
      <w:r>
        <w:rPr>
          <w:rFonts w:hint="eastAsia" w:ascii="Times New Roman" w:hAnsi="Times New Roman" w:eastAsia="方正楷体_GBK" w:cs="方正楷体_GBK"/>
          <w:sz w:val="32"/>
          <w:szCs w:val="40"/>
          <w:lang w:val="en-US" w:eastAsia="zh-CN"/>
        </w:rPr>
        <w:t>持续开展普惠金融产品发布。</w:t>
      </w:r>
      <w:r>
        <w:rPr>
          <w:rFonts w:hint="eastAsia" w:ascii="Times New Roman" w:hAnsi="Times New Roman" w:eastAsia="方正仿宋_GBK" w:cs="方正仿宋_GBK"/>
          <w:sz w:val="32"/>
          <w:szCs w:val="40"/>
          <w:lang w:val="en-US" w:eastAsia="zh-CN"/>
        </w:rPr>
        <w:t>发挥普惠金融产品发布机制，定期召开普惠金融产品发布会，及时发布普惠金融产品信息，加大普惠金融产品宣传力度，提升各项普惠金融产品知晓度。</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将金融机构支持复工复产纳入评价机制。</w:t>
      </w:r>
      <w:r>
        <w:rPr>
          <w:rFonts w:hint="eastAsia" w:ascii="Times New Roman" w:hAnsi="Times New Roman" w:eastAsia="方正仿宋_GBK" w:cs="方正仿宋_GBK"/>
          <w:sz w:val="32"/>
          <w:szCs w:val="40"/>
          <w:lang w:val="en-US" w:eastAsia="zh-CN"/>
        </w:rPr>
        <w:t>进一步完善金融机构服务中小微企业、服务民营企业、对地方经济社会评价体系，将金融机构支持复工复产情况纳入评价指标，强化评价结果应用，提升各金融机构支持我省复工复产企业的质效。</w:t>
      </w:r>
      <w:r>
        <w:rPr>
          <w:rFonts w:hint="eastAsia" w:ascii="Times New Roman" w:hAnsi="Times New Roman" w:eastAsia="方正楷体_GBK" w:cs="方正楷体_GBK"/>
          <w:sz w:val="32"/>
          <w:szCs w:val="40"/>
          <w:lang w:val="en-US" w:eastAsia="zh-CN"/>
        </w:rPr>
        <w:t>(责任单位：全省金融办系统)</w:t>
      </w:r>
    </w:p>
    <w:p>
      <w:pPr>
        <w:numPr>
          <w:ilvl w:val="0"/>
          <w:numId w:val="1"/>
        </w:numPr>
        <w:ind w:firstLine="640" w:firstLineChars="200"/>
        <w:rPr>
          <w:rFonts w:hint="eastAsia" w:ascii="Times New Roman" w:hAnsi="Times New Roman" w:eastAsia="方正黑体_GBK" w:cs="方正黑体_GBK"/>
          <w:sz w:val="32"/>
          <w:szCs w:val="40"/>
          <w:lang w:val="en-US" w:eastAsia="zh-CN"/>
        </w:rPr>
      </w:pPr>
      <w:r>
        <w:rPr>
          <w:rFonts w:hint="eastAsia" w:ascii="Times New Roman" w:hAnsi="Times New Roman" w:eastAsia="方正黑体_GBK" w:cs="方正黑体_GBK"/>
          <w:sz w:val="32"/>
          <w:szCs w:val="40"/>
          <w:lang w:val="en-US" w:eastAsia="zh-CN"/>
        </w:rPr>
        <w:t>放大政策性金融增信功能</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发挥保险保障作用。</w:t>
      </w:r>
      <w:r>
        <w:rPr>
          <w:rFonts w:hint="eastAsia" w:ascii="Times New Roman" w:hAnsi="Times New Roman" w:eastAsia="方正仿宋_GBK" w:cs="方正仿宋_GBK"/>
          <w:sz w:val="32"/>
          <w:szCs w:val="40"/>
          <w:lang w:val="en-US" w:eastAsia="zh-CN"/>
        </w:rPr>
        <w:t>鼓励保险机构针对复工复产需求，定制开发特色产品。在对保险机构服务地方经济评价中，调整优化对保险惠企服务和相关健康险的评价权重，引导保险机构加强对复工复产的市场主体及劳动者保障水平。</w:t>
      </w:r>
      <w:r>
        <w:rPr>
          <w:rFonts w:hint="eastAsia" w:ascii="Times New Roman" w:hAnsi="Times New Roman" w:eastAsia="方正楷体_GBK" w:cs="方正楷体_GBK"/>
          <w:sz w:val="32"/>
          <w:szCs w:val="40"/>
          <w:lang w:val="en-US" w:eastAsia="zh-CN"/>
        </w:rPr>
        <w:t>(责任单位：全省银保监系统、金融办系统)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大力提升改革后政府性融资担保的工作绩效。</w:t>
      </w:r>
      <w:r>
        <w:rPr>
          <w:rFonts w:hint="eastAsia" w:ascii="Times New Roman" w:hAnsi="Times New Roman" w:eastAsia="方正仿宋_GBK" w:cs="方正仿宋_GBK"/>
          <w:sz w:val="32"/>
          <w:szCs w:val="32"/>
          <w:lang w:val="en-US" w:eastAsia="zh-CN"/>
        </w:rPr>
        <w:t>支持各级政府性融资担保机构按照放大倍数5倍触发点启动增资，支持各市担保机构设立县域办事处、分公司服务基层市场主体。督促各级担保机构深入落实《全省政府性融资担保机构助企纾困稳经济专项行动方案》各项要求，加大稳经济、助复产的工作力度；主动回应银行机构、贷款主体延期还本付息协商诉求，根据商业原则保持有效担保安排或提供替代安排，加大对小微企业、个体工商户延期还本付息的支持力度；全面梳理将于四季度末到期的小微企业贷款融资担保业务，及时与银行机构、贷款主体对接。</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有效发挥农业信贷担保的政策性功能。</w:t>
      </w:r>
      <w:r>
        <w:rPr>
          <w:rFonts w:hint="eastAsia" w:ascii="Times New Roman" w:hAnsi="Times New Roman" w:eastAsia="方正仿宋_GBK" w:cs="方正仿宋_GBK"/>
          <w:sz w:val="32"/>
          <w:szCs w:val="32"/>
          <w:lang w:val="en-US" w:eastAsia="zh-CN"/>
        </w:rPr>
        <w:t>发挥农业信贷担保的助农惠农作用，对符合农业信贷担保政策和银行信贷条件、资金周转出现暂时困难但仍有发展前景的新型农业经营主体予以低成本应急转贷资金支持。加强与各类新型农业经营主体的沟通联系，通过设立“绿色通道”提高业务办理效率，协同银行做到不抽贷、不压贷、不断贷，通过合理设置还款方式、办理展期等措施，帮助各类新型农业经营主体逐步恢复生产经营，渡过难关。</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发挥企业资金链应急周转保障资金作用。</w:t>
      </w:r>
      <w:r>
        <w:rPr>
          <w:rFonts w:hint="eastAsia" w:ascii="Times New Roman" w:hAnsi="Times New Roman" w:eastAsia="方正仿宋_GBK" w:cs="方正仿宋_GBK"/>
          <w:sz w:val="32"/>
          <w:szCs w:val="40"/>
          <w:lang w:val="en-US" w:eastAsia="zh-CN"/>
        </w:rPr>
        <w:t>优化改进续贷管理流程，健全完善内部管理制度，进一步提升企业资金链应急周转保障资金使用效率。加强宣传引导，靠前服务，用足用好资金应急保障功能，优先支持受疫情影响的中小微、民营等企业复工复产，满足企业在转贷续贷过程中对资金的使用需求。</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充分利用省级地方征信平台征信服务。</w:t>
      </w:r>
      <w:r>
        <w:rPr>
          <w:rFonts w:hint="eastAsia" w:ascii="Times New Roman" w:hAnsi="Times New Roman" w:eastAsia="方正仿宋_GBK" w:cs="方正仿宋_GBK"/>
          <w:sz w:val="32"/>
          <w:szCs w:val="40"/>
          <w:lang w:val="en-US" w:eastAsia="zh-CN"/>
        </w:rPr>
        <w:t>利用“信通三晋”省级征信平台提供的多元化、集成化征信服务，打通“数据-信息-信用-信贷”转化关键环节，提升我省复工复产企业融资对接的精准度和便利性。</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推动政府投资基金优化产业布局。</w:t>
      </w:r>
      <w:r>
        <w:rPr>
          <w:rFonts w:hint="eastAsia" w:ascii="Times New Roman" w:hAnsi="Times New Roman" w:eastAsia="方正仿宋_GBK" w:cs="方正仿宋_GBK"/>
          <w:sz w:val="32"/>
          <w:szCs w:val="40"/>
          <w:lang w:val="en-US" w:eastAsia="zh-CN"/>
        </w:rPr>
        <w:t>鼓励政府投资基金为疫情影响的交通运输、文化旅游、现代服务业等领域提供支持。鼓励省级政府投资基金机构与各市县合作，积极开展复工复产重点产业投资，发挥好引导带动作用。探索对受疫情影响严重、复工复产任务艰巨的重点在投企业追加投资，稳定产业链、供应链运行。</w:t>
      </w:r>
      <w:r>
        <w:rPr>
          <w:rFonts w:hint="eastAsia" w:ascii="Times New Roman" w:hAnsi="Times New Roman" w:eastAsia="方正楷体_GBK" w:cs="方正楷体_GBK"/>
          <w:sz w:val="32"/>
          <w:szCs w:val="40"/>
          <w:lang w:val="en-US" w:eastAsia="zh-CN"/>
        </w:rPr>
        <w:t>（全省金融办系统、山西金控集团）</w:t>
      </w:r>
    </w:p>
    <w:p>
      <w:pPr>
        <w:numPr>
          <w:ilvl w:val="0"/>
          <w:numId w:val="1"/>
        </w:numPr>
        <w:ind w:firstLine="640" w:firstLineChars="200"/>
        <w:rPr>
          <w:rFonts w:hint="eastAsia" w:ascii="Times New Roman" w:hAnsi="Times New Roman" w:eastAsia="方正黑体_GBK" w:cs="方正黑体_GBK"/>
          <w:sz w:val="32"/>
          <w:szCs w:val="40"/>
          <w:lang w:val="en-US" w:eastAsia="zh-CN"/>
        </w:rPr>
      </w:pPr>
      <w:r>
        <w:rPr>
          <w:rFonts w:hint="eastAsia" w:ascii="Times New Roman" w:hAnsi="Times New Roman" w:eastAsia="方正黑体_GBK" w:cs="方正黑体_GBK"/>
          <w:sz w:val="32"/>
          <w:szCs w:val="40"/>
          <w:lang w:val="en-US" w:eastAsia="zh-CN"/>
        </w:rPr>
        <w:t>构建高效普惠金融体系</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提升首贷续贷中心的工作效能。</w:t>
      </w:r>
      <w:r>
        <w:rPr>
          <w:rFonts w:hint="eastAsia" w:ascii="Times New Roman" w:hAnsi="Times New Roman" w:eastAsia="方正仿宋_GBK" w:cs="方正仿宋_GBK"/>
          <w:sz w:val="32"/>
          <w:szCs w:val="40"/>
          <w:lang w:val="en-US" w:eastAsia="zh-CN"/>
        </w:rPr>
        <w:t>继续加大首贷续贷中心建设力度，尽快实现全省各市全覆盖。指导已经挂牌的首贷续贷中心立足功能定位，不断丰富征信、担保、抵押登记、政策宣讲等中心功能，促进发挥平台作用，引入银行、保险、基金等全要素金融机构，增加应急周转、信保基金等地方惠企特色服务，不断提升工作效能，努力为在复工复产中面临首贷续贷难的市场主体提供“一站式”解决方案。</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优化无贷户“两张名单”推送机制。</w:t>
      </w:r>
      <w:r>
        <w:rPr>
          <w:rFonts w:hint="eastAsia" w:ascii="Times New Roman" w:hAnsi="Times New Roman" w:eastAsia="方正仿宋_GBK" w:cs="方正仿宋_GBK"/>
          <w:sz w:val="32"/>
          <w:szCs w:val="40"/>
          <w:lang w:val="en-US" w:eastAsia="zh-CN"/>
        </w:rPr>
        <w:t>指导各市继续定期梳理小微企业、个体工商户“无贷户”两张名单，并探索利用工商、税务等征信数据开展“两张名单”提纯，提高名单的匹配度。指导优化名单推送机制，按照银行等金融机构的需求，分行业、分规模、分区域个性化推送，提高推送的精准性。将“两张名单”与“三晋贷款码”、首贷续贷中心、各市金融服务平台等工作有机结合，打出政策组合拳，提高整体工作质效。</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深入开展“千名行长结对子”活动。</w:t>
      </w:r>
      <w:r>
        <w:rPr>
          <w:rFonts w:hint="eastAsia" w:ascii="Times New Roman" w:hAnsi="Times New Roman" w:eastAsia="仿宋_GB2312" w:cs="仿宋_GB2312"/>
          <w:sz w:val="32"/>
          <w:szCs w:val="40"/>
          <w:lang w:val="en-US" w:eastAsia="zh-CN"/>
        </w:rPr>
        <w:t>制</w:t>
      </w:r>
      <w:r>
        <w:rPr>
          <w:rFonts w:hint="eastAsia" w:ascii="Times New Roman" w:hAnsi="Times New Roman" w:eastAsia="方正仿宋_GBK" w:cs="方正仿宋_GBK"/>
          <w:sz w:val="32"/>
          <w:szCs w:val="40"/>
          <w:lang w:val="en-US" w:eastAsia="zh-CN"/>
        </w:rPr>
        <w:t>定结对子名单，建立结对子活动成果调度机制和宣传报道机制，打造“结对子”常态化银企对接的服务品牌，与金融政策宣讲、延期还本付息政策落地、“三晋贷款码”试点推广等工作有机结合，丰富“结对子”活动内容。紧紧围绕复工复产形势需要，将在复工复产中有融资需求的市场主体作为重点“结对子”对象，常态化开展服务。</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启动“三晋贷款码”试点推广。</w:t>
      </w:r>
      <w:r>
        <w:rPr>
          <w:rFonts w:hint="eastAsia" w:ascii="Times New Roman" w:hAnsi="Times New Roman" w:eastAsia="方正仿宋_GBK" w:cs="方正仿宋_GBK"/>
          <w:sz w:val="32"/>
          <w:szCs w:val="40"/>
          <w:lang w:val="en-US" w:eastAsia="zh-CN"/>
        </w:rPr>
        <w:t>在太原市启动“三晋贷款码”上线试点推广活动，动员驻晋银行机构及时在“三晋贷款码”平台上线普惠金融产品，主动向市场主体推广“三晋贷款码”服务，为有融资需求的市场主体提供全线上快捷服务。在总结太原市试点经验的基础上，2023年6月底前将“三晋贷款码”平台推广到全省使用。</w:t>
      </w:r>
      <w:r>
        <w:rPr>
          <w:rFonts w:hint="eastAsia" w:ascii="Times New Roman" w:hAnsi="Times New Roman" w:eastAsia="方正楷体_GBK" w:cs="方正楷体_GBK"/>
          <w:sz w:val="32"/>
          <w:szCs w:val="40"/>
          <w:lang w:val="en-US" w:eastAsia="zh-CN"/>
        </w:rPr>
        <w:t>(责任单位：全省金融办系统)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强化普惠金融按月调度机制。</w:t>
      </w:r>
      <w:r>
        <w:rPr>
          <w:rFonts w:hint="eastAsia" w:ascii="Times New Roman" w:hAnsi="Times New Roman" w:eastAsia="方正仿宋_GBK" w:cs="方正仿宋_GBK"/>
          <w:sz w:val="32"/>
          <w:szCs w:val="40"/>
          <w:lang w:val="en-US" w:eastAsia="zh-CN"/>
        </w:rPr>
        <w:t>继续深化全省主要银行普惠型贷款按月调度机制，按月统计全省主要银行普惠贷款工作绩效，对落后的银行机构进行督导，督促银行业机构加大普惠贷款投放力度，力争2023年我省普惠型小微贷款余额增速高于全国平均水平，并实现贷款利率继续下降，金融让利实体继续增加。</w:t>
      </w:r>
      <w:r>
        <w:rPr>
          <w:rFonts w:hint="eastAsia" w:ascii="Times New Roman" w:hAnsi="Times New Roman" w:eastAsia="方正楷体_GBK" w:cs="方正楷体_GBK"/>
          <w:sz w:val="32"/>
          <w:szCs w:val="40"/>
          <w:lang w:val="en-US" w:eastAsia="zh-CN"/>
        </w:rPr>
        <w:t>(责任单位：全省金融办系统)</w:t>
      </w:r>
    </w:p>
    <w:p>
      <w:pPr>
        <w:numPr>
          <w:ilvl w:val="0"/>
          <w:numId w:val="1"/>
        </w:numPr>
        <w:ind w:firstLine="640" w:firstLineChars="200"/>
        <w:rPr>
          <w:rFonts w:hint="eastAsia" w:ascii="Times New Roman" w:hAnsi="Times New Roman" w:eastAsia="方正黑体_GBK" w:cs="方正黑体_GBK"/>
          <w:sz w:val="32"/>
          <w:szCs w:val="40"/>
          <w:lang w:val="en-US" w:eastAsia="zh-CN"/>
        </w:rPr>
      </w:pPr>
      <w:r>
        <w:rPr>
          <w:rFonts w:hint="eastAsia" w:ascii="Times New Roman" w:hAnsi="Times New Roman" w:eastAsia="方正黑体_GBK" w:cs="方正黑体_GBK"/>
          <w:sz w:val="32"/>
          <w:szCs w:val="40"/>
          <w:lang w:val="en-US" w:eastAsia="zh-CN"/>
        </w:rPr>
        <w:t>加强资本市场精准服务</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扎实开展拟上市企业分片入企服务。</w:t>
      </w:r>
      <w:r>
        <w:rPr>
          <w:rFonts w:hint="eastAsia" w:ascii="Times New Roman" w:hAnsi="Times New Roman" w:eastAsia="方正仿宋_GBK" w:cs="方正仿宋_GBK"/>
          <w:sz w:val="32"/>
          <w:szCs w:val="40"/>
          <w:lang w:val="en-US" w:eastAsia="zh-CN"/>
        </w:rPr>
        <w:t>落实上市后备企业分片服务机制工作要求，发挥省直相关部门在企业股改、辅导备案、上市申报中的指导作用，对11个市及省综改示范区的重点拟上市企业开展精准帮扶服务，通过入企调研、专家走访、集中培训、专题辅导等线上线下服务，完善支持举措，凝聚工作合力，切实帮助企业解决上市挂牌过程中的困难。</w:t>
      </w:r>
      <w:r>
        <w:rPr>
          <w:rFonts w:hint="eastAsia" w:ascii="Times New Roman" w:hAnsi="Times New Roman" w:eastAsia="方正楷体_GBK" w:cs="方正楷体_GBK"/>
          <w:sz w:val="32"/>
          <w:szCs w:val="40"/>
          <w:lang w:val="en-US" w:eastAsia="zh-CN"/>
        </w:rPr>
        <w:t>(责任单位：全省金融办系统、山西证监局)</w:t>
      </w:r>
    </w:p>
    <w:p>
      <w:pPr>
        <w:numPr>
          <w:ilvl w:val="0"/>
          <w:numId w:val="2"/>
        </w:numPr>
        <w:ind w:firstLine="640" w:firstLineChars="200"/>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color w:val="auto"/>
          <w:sz w:val="32"/>
          <w:szCs w:val="32"/>
        </w:rPr>
        <w:t>加</w:t>
      </w:r>
      <w:r>
        <w:rPr>
          <w:rFonts w:hint="eastAsia" w:ascii="Times New Roman" w:hAnsi="Times New Roman" w:eastAsia="方正楷体_GBK" w:cs="方正楷体_GBK"/>
          <w:color w:val="auto"/>
          <w:sz w:val="32"/>
          <w:szCs w:val="32"/>
          <w:lang w:eastAsia="zh-CN"/>
        </w:rPr>
        <w:t>快推动</w:t>
      </w:r>
      <w:r>
        <w:rPr>
          <w:rFonts w:hint="eastAsia" w:ascii="Times New Roman" w:hAnsi="Times New Roman" w:eastAsia="方正楷体_GBK" w:cs="方正楷体_GBK"/>
          <w:color w:val="auto"/>
          <w:sz w:val="32"/>
          <w:szCs w:val="32"/>
        </w:rPr>
        <w:t>重点上市后备企业</w:t>
      </w:r>
      <w:r>
        <w:rPr>
          <w:rFonts w:hint="eastAsia" w:ascii="Times New Roman" w:hAnsi="Times New Roman" w:eastAsia="方正楷体_GBK" w:cs="方正楷体_GBK"/>
          <w:color w:val="auto"/>
          <w:sz w:val="32"/>
          <w:szCs w:val="32"/>
          <w:lang w:eastAsia="zh-CN"/>
        </w:rPr>
        <w:t>上市挂牌。</w:t>
      </w:r>
      <w:r>
        <w:rPr>
          <w:rFonts w:hint="eastAsia" w:ascii="Times New Roman" w:hAnsi="Times New Roman" w:eastAsia="方正仿宋_GBK" w:cs="方正仿宋_GBK"/>
          <w:sz w:val="32"/>
          <w:szCs w:val="32"/>
        </w:rPr>
        <w:t>推动国家级“专精特新”小巨人、</w:t>
      </w:r>
      <w:r>
        <w:rPr>
          <w:rFonts w:hint="eastAsia" w:ascii="Times New Roman" w:hAnsi="Times New Roman" w:eastAsia="方正仿宋_GBK" w:cs="方正仿宋_GBK"/>
          <w:sz w:val="32"/>
          <w:szCs w:val="32"/>
          <w:lang w:eastAsia="zh-CN"/>
        </w:rPr>
        <w:t>重点产业链</w:t>
      </w:r>
      <w:r>
        <w:rPr>
          <w:rFonts w:hint="eastAsia" w:ascii="Times New Roman" w:hAnsi="Times New Roman" w:eastAsia="方正仿宋_GBK" w:cs="方正仿宋_GBK"/>
          <w:color w:val="auto"/>
          <w:sz w:val="32"/>
          <w:szCs w:val="32"/>
        </w:rPr>
        <w:t>“链主”“链核”</w:t>
      </w:r>
      <w:r>
        <w:rPr>
          <w:rFonts w:hint="eastAsia" w:ascii="Times New Roman" w:hAnsi="Times New Roman" w:eastAsia="方正仿宋_GBK" w:cs="方正仿宋_GBK"/>
          <w:sz w:val="32"/>
          <w:szCs w:val="32"/>
        </w:rPr>
        <w:t>、成长</w:t>
      </w:r>
      <w:r>
        <w:rPr>
          <w:rFonts w:hint="eastAsia" w:ascii="Times New Roman" w:hAnsi="Times New Roman" w:eastAsia="方正仿宋_GBK" w:cs="方正仿宋_GBK"/>
          <w:sz w:val="32"/>
          <w:szCs w:val="32"/>
          <w:lang w:eastAsia="zh-CN"/>
        </w:rPr>
        <w:t>型</w:t>
      </w:r>
      <w:r>
        <w:rPr>
          <w:rFonts w:hint="eastAsia" w:ascii="Times New Roman" w:hAnsi="Times New Roman" w:eastAsia="方正仿宋_GBK" w:cs="方正仿宋_GBK"/>
          <w:sz w:val="32"/>
          <w:szCs w:val="32"/>
        </w:rPr>
        <w:t>科技企业</w:t>
      </w:r>
      <w:r>
        <w:rPr>
          <w:rFonts w:hint="eastAsia" w:ascii="Times New Roman" w:hAnsi="Times New Roman" w:eastAsia="方正仿宋_GBK" w:cs="方正仿宋_GBK"/>
          <w:sz w:val="32"/>
          <w:szCs w:val="32"/>
          <w:lang w:eastAsia="zh-CN"/>
        </w:rPr>
        <w:t>和</w:t>
      </w:r>
      <w:r>
        <w:rPr>
          <w:rFonts w:hint="eastAsia" w:ascii="Times New Roman" w:hAnsi="Times New Roman" w:eastAsia="方正仿宋_GBK" w:cs="方正仿宋_GBK"/>
          <w:sz w:val="32"/>
          <w:szCs w:val="32"/>
        </w:rPr>
        <w:t>首批十大重点专业镇龙头企业入库</w:t>
      </w:r>
      <w:r>
        <w:rPr>
          <w:rFonts w:hint="eastAsia" w:ascii="Times New Roman" w:hAnsi="Times New Roman" w:eastAsia="方正仿宋_GBK" w:cs="方正仿宋_GBK"/>
          <w:sz w:val="32"/>
          <w:szCs w:val="32"/>
          <w:lang w:eastAsia="zh-CN"/>
        </w:rPr>
        <w:t>培育</w:t>
      </w:r>
      <w:r>
        <w:rPr>
          <w:rFonts w:hint="eastAsia" w:ascii="Times New Roman" w:hAnsi="Times New Roman" w:eastAsia="方正仿宋_GBK" w:cs="方正仿宋_GBK"/>
          <w:sz w:val="32"/>
          <w:szCs w:val="32"/>
        </w:rPr>
        <w:t>。</w:t>
      </w:r>
      <w:r>
        <w:rPr>
          <w:rStyle w:val="10"/>
          <w:rFonts w:hint="eastAsia" w:ascii="Times New Roman" w:hAnsi="Times New Roman" w:eastAsia="方正仿宋_GBK" w:cs="方正仿宋_GBK"/>
          <w:color w:val="000000"/>
          <w:sz w:val="32"/>
          <w:szCs w:val="32"/>
        </w:rPr>
        <w:t>发挥省市企业上市“绿色通道”作用，对上市挂牌相关</w:t>
      </w:r>
      <w:r>
        <w:rPr>
          <w:rStyle w:val="10"/>
          <w:rFonts w:hint="eastAsia" w:ascii="Times New Roman" w:hAnsi="Times New Roman" w:eastAsia="方正仿宋_GBK" w:cs="方正仿宋_GBK"/>
          <w:color w:val="000000"/>
          <w:sz w:val="32"/>
          <w:szCs w:val="32"/>
          <w:lang w:eastAsia="zh-CN"/>
        </w:rPr>
        <w:t>申请</w:t>
      </w:r>
      <w:r>
        <w:rPr>
          <w:rStyle w:val="10"/>
          <w:rFonts w:hint="eastAsia" w:ascii="Times New Roman" w:hAnsi="Times New Roman" w:eastAsia="方正仿宋_GBK" w:cs="方正仿宋_GBK"/>
          <w:color w:val="000000"/>
          <w:sz w:val="32"/>
          <w:szCs w:val="32"/>
        </w:rPr>
        <w:t>事项即报即办，</w:t>
      </w:r>
      <w:r>
        <w:rPr>
          <w:rStyle w:val="10"/>
          <w:rFonts w:hint="eastAsia" w:ascii="Times New Roman" w:hAnsi="Times New Roman" w:eastAsia="方正仿宋_GBK" w:cs="方正仿宋_GBK"/>
          <w:color w:val="000000"/>
          <w:sz w:val="32"/>
          <w:szCs w:val="32"/>
          <w:lang w:eastAsia="zh-CN"/>
        </w:rPr>
        <w:t>限时办结</w:t>
      </w:r>
      <w:r>
        <w:rPr>
          <w:rStyle w:val="10"/>
          <w:rFonts w:hint="eastAsia" w:ascii="Times New Roman" w:hAnsi="Times New Roman" w:eastAsia="方正仿宋_GBK" w:cs="方正仿宋_GBK"/>
          <w:color w:val="000000"/>
          <w:sz w:val="32"/>
          <w:szCs w:val="32"/>
        </w:rPr>
        <w:t>。</w:t>
      </w:r>
      <w:r>
        <w:rPr>
          <w:rStyle w:val="10"/>
          <w:rFonts w:hint="eastAsia" w:ascii="Times New Roman" w:hAnsi="Times New Roman" w:eastAsia="方正仿宋_GBK" w:cs="方正仿宋_GBK"/>
          <w:color w:val="000000"/>
          <w:sz w:val="32"/>
          <w:szCs w:val="32"/>
          <w:lang w:eastAsia="zh-CN"/>
        </w:rPr>
        <w:t>持续</w:t>
      </w:r>
      <w:r>
        <w:rPr>
          <w:rFonts w:hint="eastAsia" w:ascii="Times New Roman" w:hAnsi="Times New Roman" w:eastAsia="方正仿宋_GBK" w:cs="方正仿宋_GBK"/>
          <w:sz w:val="32"/>
          <w:szCs w:val="32"/>
        </w:rPr>
        <w:t>引导省上市倍增投资基金与</w:t>
      </w:r>
      <w:r>
        <w:rPr>
          <w:rFonts w:hint="eastAsia" w:ascii="Times New Roman" w:hAnsi="Times New Roman" w:eastAsia="方正仿宋_GBK" w:cs="方正仿宋_GBK"/>
          <w:sz w:val="32"/>
          <w:szCs w:val="32"/>
          <w:lang w:eastAsia="zh-CN"/>
        </w:rPr>
        <w:t>拟上市挂牌</w:t>
      </w:r>
      <w:r>
        <w:rPr>
          <w:rFonts w:hint="eastAsia" w:ascii="Times New Roman" w:hAnsi="Times New Roman" w:eastAsia="方正仿宋_GBK" w:cs="方正仿宋_GBK"/>
          <w:sz w:val="32"/>
          <w:szCs w:val="32"/>
        </w:rPr>
        <w:t>企业对接，</w:t>
      </w:r>
      <w:r>
        <w:rPr>
          <w:rStyle w:val="10"/>
          <w:rFonts w:hint="eastAsia" w:ascii="Times New Roman" w:hAnsi="Times New Roman" w:eastAsia="方正仿宋_GBK" w:cs="方正仿宋_GBK"/>
          <w:color w:val="000000"/>
          <w:sz w:val="32"/>
          <w:szCs w:val="32"/>
        </w:rPr>
        <w:t>切实解决企业</w:t>
      </w:r>
      <w:r>
        <w:rPr>
          <w:rStyle w:val="10"/>
          <w:rFonts w:hint="eastAsia" w:ascii="Times New Roman" w:hAnsi="Times New Roman" w:eastAsia="方正仿宋_GBK" w:cs="方正仿宋_GBK"/>
          <w:color w:val="000000"/>
          <w:sz w:val="32"/>
          <w:szCs w:val="32"/>
          <w:lang w:eastAsia="zh-CN"/>
        </w:rPr>
        <w:t>融资难</w:t>
      </w:r>
      <w:r>
        <w:rPr>
          <w:rStyle w:val="10"/>
          <w:rFonts w:hint="eastAsia" w:ascii="Times New Roman" w:hAnsi="Times New Roman" w:eastAsia="方正仿宋_GBK" w:cs="方正仿宋_GBK"/>
          <w:color w:val="000000"/>
          <w:sz w:val="32"/>
          <w:szCs w:val="32"/>
        </w:rPr>
        <w:t>题。</w:t>
      </w:r>
      <w:r>
        <w:rPr>
          <w:rFonts w:hint="eastAsia" w:ascii="Times New Roman" w:hAnsi="Times New Roman" w:eastAsia="方正仿宋_GBK" w:cs="方正仿宋_GBK"/>
          <w:sz w:val="32"/>
          <w:szCs w:val="32"/>
          <w:lang w:val="en-US" w:eastAsia="zh-CN"/>
        </w:rPr>
        <w:t>加强与沪深北交易所和全国股转系统对接，加快在审企业首发上市和新三板挂牌。</w:t>
      </w:r>
      <w:r>
        <w:rPr>
          <w:rFonts w:hint="eastAsia" w:ascii="Times New Roman" w:hAnsi="Times New Roman" w:eastAsia="方正楷体_GBK" w:cs="方正楷体_GBK"/>
          <w:sz w:val="32"/>
          <w:szCs w:val="40"/>
          <w:lang w:val="en-US" w:eastAsia="zh-CN"/>
        </w:rPr>
        <w:t>(责任单位：全省金融办系统、山西证监局)</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32"/>
          <w:lang w:eastAsia="zh-CN"/>
        </w:rPr>
        <w:t>支持企业多种方式</w:t>
      </w:r>
      <w:r>
        <w:rPr>
          <w:rFonts w:hint="eastAsia" w:ascii="Times New Roman" w:hAnsi="Times New Roman" w:eastAsia="方正楷体_GBK" w:cs="方正楷体_GBK"/>
          <w:sz w:val="32"/>
          <w:szCs w:val="32"/>
        </w:rPr>
        <w:t>融资</w:t>
      </w:r>
      <w:r>
        <w:rPr>
          <w:rFonts w:hint="eastAsia" w:ascii="Times New Roman" w:hAnsi="Times New Roman" w:eastAsia="方正楷体_GBK" w:cs="方正楷体_GBK"/>
          <w:sz w:val="32"/>
          <w:szCs w:val="32"/>
          <w:lang w:eastAsia="zh-CN"/>
        </w:rPr>
        <w:t>开展产业链整合。</w:t>
      </w:r>
      <w:r>
        <w:rPr>
          <w:rFonts w:hint="eastAsia" w:ascii="Times New Roman" w:hAnsi="Times New Roman" w:eastAsia="方正仿宋_GBK" w:cs="方正仿宋_GBK"/>
          <w:sz w:val="32"/>
          <w:szCs w:val="32"/>
          <w:lang w:val="en-US" w:eastAsia="zh-CN"/>
        </w:rPr>
        <w:t>引导省内上市公司通过配股、增发等形式加大再融资力度，降低融资成本。</w:t>
      </w:r>
      <w:r>
        <w:rPr>
          <w:rFonts w:hint="eastAsia" w:ascii="Times New Roman" w:hAnsi="Times New Roman" w:eastAsia="方正仿宋_GBK" w:cs="方正仿宋_GBK"/>
          <w:sz w:val="32"/>
          <w:szCs w:val="32"/>
        </w:rPr>
        <w:t>指导省内企业发行</w:t>
      </w:r>
      <w:r>
        <w:rPr>
          <w:rFonts w:hint="eastAsia" w:ascii="Times New Roman" w:hAnsi="Times New Roman" w:eastAsia="方正仿宋_GBK" w:cs="方正仿宋_GBK"/>
          <w:sz w:val="32"/>
          <w:szCs w:val="32"/>
          <w:lang w:eastAsia="zh-CN"/>
        </w:rPr>
        <w:t>各类债券</w:t>
      </w:r>
      <w:r>
        <w:rPr>
          <w:rFonts w:hint="eastAsia" w:ascii="Times New Roman" w:hAnsi="Times New Roman" w:eastAsia="方正仿宋_GBK" w:cs="方正仿宋_GBK"/>
          <w:sz w:val="32"/>
          <w:szCs w:val="32"/>
        </w:rPr>
        <w:t>，灵活选择</w:t>
      </w:r>
      <w:r>
        <w:rPr>
          <w:rFonts w:hint="eastAsia" w:ascii="Times New Roman" w:hAnsi="Times New Roman" w:eastAsia="方正仿宋_GBK" w:cs="方正仿宋_GBK"/>
          <w:sz w:val="32"/>
          <w:szCs w:val="32"/>
          <w:lang w:eastAsia="zh-CN"/>
        </w:rPr>
        <w:t>短融、中期票据等各类</w:t>
      </w:r>
      <w:r>
        <w:rPr>
          <w:rFonts w:hint="eastAsia" w:ascii="Times New Roman" w:hAnsi="Times New Roman" w:eastAsia="方正仿宋_GBK" w:cs="方正仿宋_GBK"/>
          <w:sz w:val="32"/>
          <w:szCs w:val="32"/>
        </w:rPr>
        <w:t>工具</w:t>
      </w:r>
      <w:r>
        <w:rPr>
          <w:rFonts w:hint="eastAsia" w:ascii="Times New Roman" w:hAnsi="Times New Roman" w:eastAsia="方正仿宋_GBK" w:cs="方正仿宋_GBK"/>
          <w:sz w:val="32"/>
          <w:szCs w:val="32"/>
          <w:lang w:eastAsia="zh-CN"/>
        </w:rPr>
        <w:t>多渠道</w:t>
      </w:r>
      <w:r>
        <w:rPr>
          <w:rFonts w:hint="eastAsia" w:ascii="Times New Roman" w:hAnsi="Times New Roman" w:eastAsia="方正仿宋_GBK" w:cs="方正仿宋_GBK"/>
          <w:sz w:val="32"/>
          <w:szCs w:val="32"/>
        </w:rPr>
        <w:t>融资。</w:t>
      </w:r>
      <w:r>
        <w:rPr>
          <w:rFonts w:hint="eastAsia" w:ascii="Times New Roman" w:hAnsi="Times New Roman" w:eastAsia="方正仿宋_GBK" w:cs="方正仿宋_GBK"/>
          <w:sz w:val="32"/>
          <w:szCs w:val="32"/>
          <w:lang w:val="en-US" w:eastAsia="zh-CN"/>
        </w:rPr>
        <w:t>鼓励上市公司开展并购重组，加快产业链上下游资源整合、产业整合、价值链整合。</w:t>
      </w:r>
      <w:r>
        <w:rPr>
          <w:rFonts w:hint="eastAsia" w:ascii="Times New Roman" w:hAnsi="Times New Roman" w:eastAsia="方正仿宋_GBK" w:cs="方正仿宋_GBK"/>
          <w:sz w:val="32"/>
          <w:szCs w:val="32"/>
        </w:rPr>
        <w:t>支持符合条件的企业</w:t>
      </w:r>
      <w:r>
        <w:rPr>
          <w:rFonts w:hint="eastAsia" w:ascii="Times New Roman" w:hAnsi="Times New Roman" w:eastAsia="方正仿宋_GBK" w:cs="方正仿宋_GBK"/>
          <w:sz w:val="32"/>
          <w:szCs w:val="32"/>
          <w:lang w:eastAsia="zh-CN"/>
        </w:rPr>
        <w:t>发行</w:t>
      </w:r>
      <w:r>
        <w:rPr>
          <w:rFonts w:hint="eastAsia" w:ascii="Times New Roman" w:hAnsi="Times New Roman" w:eastAsia="方正仿宋_GBK" w:cs="方正仿宋_GBK"/>
          <w:sz w:val="32"/>
          <w:szCs w:val="32"/>
        </w:rPr>
        <w:t>基础设施公募REITs。</w:t>
      </w:r>
      <w:r>
        <w:rPr>
          <w:rFonts w:hint="eastAsia" w:ascii="Times New Roman" w:hAnsi="Times New Roman" w:eastAsia="方正楷体_GBK" w:cs="方正楷体_GBK"/>
          <w:sz w:val="32"/>
          <w:szCs w:val="40"/>
          <w:lang w:val="en-US" w:eastAsia="zh-CN"/>
        </w:rPr>
        <w:t>(责任单位：全省金融办系统、山西证监局)</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鼓励证券基金期货经营机构发挥金融支持作用。</w:t>
      </w:r>
      <w:r>
        <w:rPr>
          <w:rFonts w:hint="eastAsia" w:ascii="Times New Roman" w:hAnsi="Times New Roman" w:eastAsia="方正仿宋_GBK" w:cs="方正仿宋_GBK"/>
          <w:sz w:val="32"/>
          <w:szCs w:val="40"/>
          <w:lang w:val="en-US" w:eastAsia="zh-CN"/>
        </w:rPr>
        <w:t>推动辖区证券、基金、期货等市场主体发挥资本中介功能，主动对接与新冠病毒防治相关的生物医药健康企业和其他服务业企业融资需求，支持新冠病毒防控创新产品研发及产业化。加大对交通运输、商贸零售、文化旅游、餐饮等受疫情影响较大行业企业的融资支持，助力企业有序复工复产。加大对科技创新、绿色低碳、制造业等重点领域的融资支持，落实落细金融纾困，加强专项投资服务力度，加大对民营企业、中小微企业支持力度，扩大普惠金融服务覆盖面，帮助企业渡过难关。</w:t>
      </w:r>
      <w:r>
        <w:rPr>
          <w:rFonts w:hint="eastAsia" w:ascii="Times New Roman" w:hAnsi="Times New Roman" w:eastAsia="方正楷体_GBK" w:cs="方正楷体_GBK"/>
          <w:sz w:val="32"/>
          <w:szCs w:val="40"/>
          <w:lang w:val="en-US" w:eastAsia="zh-CN"/>
        </w:rPr>
        <w:t>(责任单位:山西证监局)</w:t>
      </w:r>
    </w:p>
    <w:p>
      <w:pPr>
        <w:numPr>
          <w:ilvl w:val="0"/>
          <w:numId w:val="1"/>
        </w:numPr>
        <w:ind w:firstLine="640" w:firstLineChars="200"/>
        <w:rPr>
          <w:rFonts w:hint="eastAsia" w:ascii="Times New Roman" w:hAnsi="Times New Roman" w:eastAsia="方正黑体_GBK" w:cs="方正黑体_GBK"/>
          <w:sz w:val="32"/>
          <w:szCs w:val="40"/>
          <w:lang w:val="en-US" w:eastAsia="zh-CN"/>
        </w:rPr>
      </w:pPr>
      <w:r>
        <w:rPr>
          <w:rFonts w:hint="eastAsia" w:ascii="Times New Roman" w:hAnsi="Times New Roman" w:eastAsia="方正黑体_GBK" w:cs="方正黑体_GBK"/>
          <w:sz w:val="32"/>
          <w:szCs w:val="40"/>
          <w:lang w:val="en-US" w:eastAsia="zh-CN"/>
        </w:rPr>
        <w:t>加快推进社会民生提振复苏</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color w:val="000000"/>
          <w:sz w:val="32"/>
          <w:szCs w:val="32"/>
        </w:rPr>
        <w:t>切实做好“保交楼、稳民生”工作</w:t>
      </w:r>
      <w:r>
        <w:rPr>
          <w:rFonts w:hint="eastAsia" w:ascii="Times New Roman" w:hAnsi="Times New Roman" w:eastAsia="方正楷体_GBK" w:cs="方正楷体_GBK"/>
          <w:color w:val="000000"/>
          <w:kern w:val="0"/>
          <w:sz w:val="32"/>
          <w:szCs w:val="32"/>
        </w:rPr>
        <w:t>。</w:t>
      </w:r>
      <w:r>
        <w:rPr>
          <w:rFonts w:hint="eastAsia" w:ascii="Times New Roman" w:hAnsi="Times New Roman" w:eastAsia="方正仿宋_GBK" w:cs="方正仿宋_GBK"/>
          <w:sz w:val="32"/>
          <w:szCs w:val="32"/>
        </w:rPr>
        <w:t>对金融机构在2022年11月1日至2023年3月31日期间向已售逾期难交付住宅项目发放的保交楼贷款，人民银行将通过保交楼贷款支持计划提供免息再贷款支持，推动住宅项目完工建设。督促金融机构积极跟进保交楼专项借款支持项目，通过发放个人按揭贷款、开发贷款、施工企业流动资金贷款等方式提供新增配套融资。指导金融机构落实好房地产金融16条措施，按市场化原则在房地产开发贷款、个人住房贷款、建筑企业贷款、债券融资及存量融资展期等方面加大对房地产市场的支持力度。</w:t>
      </w:r>
      <w:r>
        <w:rPr>
          <w:rFonts w:hint="eastAsia" w:ascii="Times New Roman" w:hAnsi="Times New Roman" w:eastAsia="方正楷体_GBK" w:cs="方正楷体_GBK"/>
          <w:sz w:val="32"/>
          <w:szCs w:val="40"/>
          <w:lang w:val="en-US" w:eastAsia="zh-CN"/>
        </w:rPr>
        <w:t>(责任单位：全省人民银行系统、全省银保监系统)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32"/>
        </w:rPr>
        <w:t>加大服务业领域困难行业的金融支持力度。</w:t>
      </w:r>
      <w:r>
        <w:rPr>
          <w:rFonts w:hint="eastAsia" w:ascii="Times New Roman" w:hAnsi="Times New Roman" w:eastAsia="方正仿宋_GBK" w:cs="方正仿宋_GBK"/>
          <w:sz w:val="32"/>
          <w:szCs w:val="32"/>
        </w:rPr>
        <w:t>指导金融机构加大对住宿餐饮、批发零售、文化旅游、运输物流等受疫情影响暂遇困难行业的支持力度，针对企业特点开发动产抵质押贷款和信用贷款产品，推广主动授信、随借随还贷款模式，更好满足市场主体复工复产资金需求。引导金融机构积极对接“信通三晋”信用信息融资服务平台，为小微企业“精准画像”，减少银企信息不对称问题，提升小微企业、个体工商户等市场主体融资便利度和贷款可得性。指导金融机构依托应收账款融资服务平台创新供应链金融服务方式，更好地为供应链上游小微企业提供融资支持。督促金融机构进一步落实创业担保贷款政策，加大重点就业群体创业担保贷款支持。</w:t>
      </w:r>
      <w:r>
        <w:rPr>
          <w:rFonts w:hint="eastAsia" w:ascii="Times New Roman" w:hAnsi="Times New Roman" w:eastAsia="方正楷体_GBK" w:cs="方正楷体_GBK"/>
          <w:sz w:val="32"/>
          <w:szCs w:val="40"/>
          <w:lang w:val="en-US" w:eastAsia="zh-CN"/>
        </w:rPr>
        <w:t>(责任单位：全省金融办系统、全省人民银行系统、全省银保监系统)</w:t>
      </w:r>
    </w:p>
    <w:p>
      <w:pPr>
        <w:numPr>
          <w:ilvl w:val="0"/>
          <w:numId w:val="2"/>
        </w:numPr>
        <w:ind w:firstLine="640" w:firstLineChars="200"/>
        <w:rPr>
          <w:rFonts w:hint="eastAsia" w:ascii="Times New Roman" w:hAnsi="Times New Roman" w:eastAsia="方正楷体_GBK" w:cs="方正楷体_GBK"/>
          <w:sz w:val="32"/>
          <w:szCs w:val="40"/>
          <w:lang w:val="en-US" w:eastAsia="zh-CN"/>
        </w:rPr>
      </w:pPr>
      <w:r>
        <w:rPr>
          <w:rFonts w:hint="eastAsia" w:ascii="Times New Roman" w:hAnsi="Times New Roman" w:eastAsia="方正楷体_GBK" w:cs="方正楷体_GBK"/>
          <w:sz w:val="32"/>
          <w:szCs w:val="40"/>
          <w:lang w:val="en-US" w:eastAsia="zh-CN"/>
        </w:rPr>
        <w:t>助力促进释放消费潜力。</w:t>
      </w:r>
      <w:r>
        <w:rPr>
          <w:rFonts w:hint="eastAsia" w:ascii="Times New Roman" w:hAnsi="Times New Roman" w:eastAsia="方正仿宋_GBK" w:cs="方正仿宋_GBK"/>
          <w:sz w:val="32"/>
          <w:szCs w:val="40"/>
          <w:lang w:val="en-US" w:eastAsia="zh-CN"/>
        </w:rPr>
        <w:t>多措并举扩消费，适应群众多元化需求，利用金融科技赋能创新产品和服务方式，促进汽车、家电等大宗消费，承接好疫情之后消费“回补”。</w:t>
      </w:r>
      <w:r>
        <w:rPr>
          <w:rFonts w:hint="eastAsia" w:ascii="Times New Roman" w:hAnsi="Times New Roman" w:eastAsia="方正楷体_GBK" w:cs="方正楷体_GBK"/>
          <w:sz w:val="32"/>
          <w:szCs w:val="40"/>
          <w:lang w:val="en-US" w:eastAsia="zh-CN"/>
        </w:rPr>
        <w:t>(责任单位：全省银保监系统)</w:t>
      </w:r>
    </w:p>
    <w:p>
      <w:pPr>
        <w:pStyle w:val="2"/>
        <w:rPr>
          <w:rFonts w:hint="eastAsia" w:ascii="Times New Roman" w:hAnsi="Times New Roman" w:eastAsia="方正楷体_GBK" w:cs="方正楷体_GBK"/>
          <w:lang w:val="en-US" w:eastAsia="zh-CN"/>
        </w:rPr>
      </w:pPr>
      <w:r>
        <w:rPr>
          <w:rFonts w:hint="eastAsia" w:ascii="Times New Roman" w:hAnsi="Times New Roman" w:eastAsia="方正楷体_GBK" w:cs="方正楷体_GBK"/>
          <w:lang w:val="en-US" w:eastAsia="zh-CN"/>
        </w:rPr>
        <w:t>（二十七）提升优化金融服务水平。</w:t>
      </w:r>
      <w:r>
        <w:rPr>
          <w:rFonts w:hint="eastAsia" w:ascii="Times New Roman" w:hAnsi="Times New Roman" w:eastAsia="方正仿宋_GBK" w:cs="方正仿宋_GBK"/>
          <w:lang w:val="en-US" w:eastAsia="zh-CN"/>
        </w:rPr>
        <w:t>指导金融机构统筹做好银行账户服务优化和风险防控，面向小微企业推行简易开户服务，简化辅助证明材料、缩短开户时间；持续做好小微企业支付服务减费让利工作，实现应降尽降，应免尽免。组织金融机构强化汇率风险中性宣传，及时响应外贸企业等市场主体的汇率避险需求，通过减免保证金和优惠报价等方式，减轻企业汇率避险成本。吸纳更多优质中小外贸企业参与贸易外汇收支便利化试点，在贸易单证审核、进口付汇核验等方面实施更加便利的资金结算措施；拓宽外贸新业态企业结算渠道，为跨境电子商务市场主体提供高效低成本的跨境资金结算服务。</w:t>
      </w:r>
      <w:r>
        <w:rPr>
          <w:rFonts w:hint="eastAsia" w:ascii="Times New Roman" w:hAnsi="Times New Roman" w:eastAsia="方正楷体_GBK" w:cs="方正楷体_GBK"/>
          <w:sz w:val="32"/>
          <w:szCs w:val="40"/>
          <w:lang w:val="en-US" w:eastAsia="zh-CN"/>
        </w:rPr>
        <w:t>(责任单位：全省人民银行系统)</w:t>
      </w:r>
    </w:p>
    <w:sectPr>
      <w:footerReference r:id="rId3" w:type="default"/>
      <w:pgSz w:w="11906" w:h="16838"/>
      <w:pgMar w:top="1440" w:right="1701"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1C123679-8022-41A0-B4C1-CC570162B248}"/>
  </w:font>
  <w:font w:name="方正小标宋简体">
    <w:panose1 w:val="02000000000000000000"/>
    <w:charset w:val="86"/>
    <w:family w:val="script"/>
    <w:pitch w:val="default"/>
    <w:sig w:usb0="00000001" w:usb1="08000000" w:usb2="00000000" w:usb3="00000000" w:csb0="00040000" w:csb1="00000000"/>
    <w:embedRegular r:id="rId2" w:fontKey="{54521EF1-D66A-4565-A093-A06CE577868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13000">
    <w:altName w:val="宋体"/>
    <w:panose1 w:val="02000500000000000000"/>
    <w:charset w:val="86"/>
    <w:family w:val="auto"/>
    <w:pitch w:val="default"/>
    <w:sig w:usb0="00000000" w:usb1="00000000" w:usb2="00000016" w:usb3="00000000" w:csb0="0004000F" w:csb1="00000000"/>
  </w:font>
  <w:font w:name="方正仿宋_GBK">
    <w:panose1 w:val="03000509000000000000"/>
    <w:charset w:val="86"/>
    <w:family w:val="auto"/>
    <w:pitch w:val="default"/>
    <w:sig w:usb0="00000001" w:usb1="080E0000" w:usb2="00000000" w:usb3="00000000" w:csb0="00040000" w:csb1="00000000"/>
    <w:embedRegular r:id="rId3" w:fontKey="{EDA72AE5-821C-40E0-8EED-F574A4F77379}"/>
  </w:font>
  <w:font w:name="方正楷体_GBK">
    <w:panose1 w:val="03000509000000000000"/>
    <w:charset w:val="86"/>
    <w:family w:val="auto"/>
    <w:pitch w:val="default"/>
    <w:sig w:usb0="00000001" w:usb1="080E0000" w:usb2="00000000" w:usb3="00000000" w:csb0="00040000" w:csb1="00000000"/>
    <w:embedRegular r:id="rId4" w:fontKey="{992CAFE7-85A7-4595-B608-005E957EDAFF}"/>
  </w:font>
  <w:font w:name="方正黑体_GBK">
    <w:panose1 w:val="03000509000000000000"/>
    <w:charset w:val="86"/>
    <w:family w:val="auto"/>
    <w:pitch w:val="default"/>
    <w:sig w:usb0="00000001" w:usb1="080E0000" w:usb2="00000000" w:usb3="00000000" w:csb0="00040000" w:csb1="00000000"/>
    <w:embedRegular r:id="rId5" w:fontKey="{65E5D608-0A0A-4094-A8F3-48DF0F7B4C7F}"/>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D0F61"/>
    <w:multiLevelType w:val="singleLevel"/>
    <w:tmpl w:val="FEDD0F61"/>
    <w:lvl w:ilvl="0" w:tentative="0">
      <w:start w:val="1"/>
      <w:numFmt w:val="chineseCounting"/>
      <w:suff w:val="nothing"/>
      <w:lvlText w:val="%1、"/>
      <w:lvlJc w:val="left"/>
      <w:rPr>
        <w:rFonts w:hint="eastAsia" w:ascii="方正黑体_GBK" w:hAnsi="方正黑体_GBK" w:eastAsia="方正黑体_GBK" w:cs="方正黑体_GBK"/>
        <w:sz w:val="32"/>
        <w:szCs w:val="32"/>
      </w:rPr>
    </w:lvl>
  </w:abstractNum>
  <w:abstractNum w:abstractNumId="1">
    <w:nsid w:val="66BD4A91"/>
    <w:multiLevelType w:val="singleLevel"/>
    <w:tmpl w:val="66BD4A91"/>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NGU5NjhiZTY3ZmE5Y2Q2YzczMzZhYzA1NGRmZmUifQ=="/>
  </w:docVars>
  <w:rsids>
    <w:rsidRoot w:val="00240B07"/>
    <w:rsid w:val="00042E1E"/>
    <w:rsid w:val="000779EB"/>
    <w:rsid w:val="000B302D"/>
    <w:rsid w:val="001000FD"/>
    <w:rsid w:val="00116AD2"/>
    <w:rsid w:val="001B7DFC"/>
    <w:rsid w:val="00240B07"/>
    <w:rsid w:val="00277214"/>
    <w:rsid w:val="002A7700"/>
    <w:rsid w:val="003533DF"/>
    <w:rsid w:val="00360821"/>
    <w:rsid w:val="005271FB"/>
    <w:rsid w:val="006A7E75"/>
    <w:rsid w:val="006B1EA1"/>
    <w:rsid w:val="009F6636"/>
    <w:rsid w:val="00A11766"/>
    <w:rsid w:val="00B1786E"/>
    <w:rsid w:val="00BC1E36"/>
    <w:rsid w:val="00C71CEC"/>
    <w:rsid w:val="00CA16C8"/>
    <w:rsid w:val="00D16F5E"/>
    <w:rsid w:val="00E33FC3"/>
    <w:rsid w:val="00EC40BC"/>
    <w:rsid w:val="09001F76"/>
    <w:rsid w:val="09534E00"/>
    <w:rsid w:val="095E17FC"/>
    <w:rsid w:val="0C4D25F7"/>
    <w:rsid w:val="0DCE6A99"/>
    <w:rsid w:val="0F0565A8"/>
    <w:rsid w:val="0FD2635A"/>
    <w:rsid w:val="17E17ED8"/>
    <w:rsid w:val="26197020"/>
    <w:rsid w:val="2A520B16"/>
    <w:rsid w:val="306321B1"/>
    <w:rsid w:val="341044FC"/>
    <w:rsid w:val="37F25055"/>
    <w:rsid w:val="3B1B1590"/>
    <w:rsid w:val="42FD4486"/>
    <w:rsid w:val="44D53E5C"/>
    <w:rsid w:val="4A2A701F"/>
    <w:rsid w:val="4EE44BE4"/>
    <w:rsid w:val="573A437C"/>
    <w:rsid w:val="591E2196"/>
    <w:rsid w:val="5B903E85"/>
    <w:rsid w:val="62815BF1"/>
    <w:rsid w:val="63012119"/>
    <w:rsid w:val="666F33D0"/>
    <w:rsid w:val="6ACC6202"/>
    <w:rsid w:val="6CDC431D"/>
    <w:rsid w:val="71A5735D"/>
    <w:rsid w:val="73042E63"/>
    <w:rsid w:val="737F1320"/>
    <w:rsid w:val="77EF400A"/>
    <w:rsid w:val="7829619A"/>
    <w:rsid w:val="7AF40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unhideWhenUsed/>
    <w:qFormat/>
    <w:uiPriority w:val="99"/>
    <w:pPr>
      <w:ind w:firstLine="883" w:firstLineChars="200"/>
    </w:pPr>
    <w:rPr>
      <w:rFonts w:ascii="仿宋" w:hAnsi="仿宋" w:eastAsia="仿宋" w:cs="仿宋"/>
      <w:sz w:val="32"/>
      <w:szCs w:val="32"/>
    </w:rPr>
  </w:style>
  <w:style w:type="paragraph" w:styleId="3">
    <w:name w:val="Body Text First Indent 2"/>
    <w:basedOn w:val="1"/>
    <w:qFormat/>
    <w:uiPriority w:val="0"/>
    <w:pPr>
      <w:ind w:firstLine="420"/>
    </w:pPr>
    <w:rPr>
      <w:rFonts w:ascii="仿宋_GB2312" w:hAnsi="Calibri" w:eastAsia="仿宋_GB2312"/>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NormalCharacter"/>
    <w:semiHidden/>
    <w:qFormat/>
    <w:uiPriority w:val="0"/>
  </w:style>
  <w:style w:type="paragraph" w:customStyle="1" w:styleId="1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12</Pages>
  <Words>5311</Words>
  <Characters>5349</Characters>
  <Lines>1</Lines>
  <Paragraphs>1</Paragraphs>
  <TotalTime>83</TotalTime>
  <ScaleCrop>false</ScaleCrop>
  <LinksUpToDate>false</LinksUpToDate>
  <CharactersWithSpaces>5359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2014-09-04T03:35:00Z</dcterms:created>
  <dc:creator>xh</dc:creator>
  <cp:lastModifiedBy>无事勿扰</cp:lastModifiedBy>
  <cp:lastPrinted>2022-12-29T07:31:00Z</cp:lastPrinted>
  <dcterms:modified xsi:type="dcterms:W3CDTF">2023-01-16T02:29:26Z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3E4C9F3D9AEB4049954368D4E7D7290B</vt:lpwstr>
  </property>
</Properties>
</file>