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方正小标宋简体" w:hAnsi="Calibri" w:eastAsia="方正小标宋简体"/>
          <w:b/>
          <w:color w:val="FF0000"/>
          <w:sz w:val="48"/>
          <w:szCs w:val="48"/>
        </w:rPr>
      </w:pPr>
      <w:r>
        <w:rPr>
          <w:rFonts w:ascii="方正小标宋简体" w:hAnsi="Calibri" w:eastAsia="方正小标宋简体"/>
          <w:b/>
          <w:color w:val="FF0000"/>
          <w:sz w:val="48"/>
          <w:szCs w:val="52"/>
        </w:rPr>
        <w:pict>
          <v:shape id="_x0000_i1025" o:spt="136" type="#_x0000_t136" style="height:43.5pt;width:396pt;" fillcolor="#FF0000" filled="t" stroked="f" coordsize="21600,21600">
            <v:path/>
            <v:fill on="t" focussize="0,0"/>
            <v:stroke on="f"/>
            <v:imagedata o:title=""/>
            <o:lock v:ext="edit"/>
            <v:textpath on="t" fitshape="t" fitpath="t" trim="t" xscale="f" string="全省金融服务业提质增效工作" style="font-family:方正小标宋简体;font-size:36pt;v-text-align:center;"/>
            <w10:wrap type="none"/>
            <w10:anchorlock/>
          </v:shape>
        </w:pict>
      </w:r>
    </w:p>
    <w:p>
      <w:pPr>
        <w:spacing w:before="217" w:beforeLines="50" w:after="217" w:afterLines="50"/>
        <w:ind w:firstLine="0" w:firstLineChars="0"/>
        <w:jc w:val="center"/>
        <w:rPr>
          <w:rFonts w:ascii="方正小标宋简体" w:hAnsi="方正小标宋简体" w:eastAsia="方正小标宋简体" w:cs="方正小标宋简体"/>
          <w:color w:val="FF0000"/>
          <w:sz w:val="96"/>
          <w:szCs w:val="96"/>
        </w:rPr>
      </w:pPr>
      <w:r>
        <w:rPr>
          <w:rFonts w:hint="eastAsia" w:ascii="方正小标宋简体" w:hAnsi="方正小标宋简体" w:eastAsia="方正小标宋简体" w:cs="方正小标宋简体"/>
          <w:color w:val="FF0000"/>
          <w:sz w:val="96"/>
          <w:szCs w:val="96"/>
        </w:rPr>
        <w:t>专  报</w:t>
      </w:r>
    </w:p>
    <w:p>
      <w:pPr>
        <w:spacing w:before="435" w:beforeLines="100" w:after="435" w:afterLines="100"/>
        <w:ind w:firstLine="0" w:firstLineChars="0"/>
        <w:jc w:val="center"/>
        <w:rPr>
          <w:rFonts w:ascii="楷体_GB2312" w:hAnsi="宋体" w:eastAsia="楷体_GB2312"/>
          <w:szCs w:val="32"/>
        </w:rPr>
      </w:pPr>
      <w:r>
        <w:rPr>
          <w:rFonts w:hint="eastAsia" w:ascii="楷体_GB2312" w:hAnsi="宋体" w:eastAsia="楷体_GB2312"/>
          <w:szCs w:val="32"/>
        </w:rPr>
        <w:t>第1期</w:t>
      </w:r>
    </w:p>
    <w:p>
      <w:pPr>
        <w:snapToGrid w:val="0"/>
        <w:spacing w:before="217" w:beforeLines="50"/>
        <w:ind w:firstLine="0" w:firstLineChars="0"/>
        <w:rPr>
          <w:rFonts w:ascii="楷体_GB2312" w:hAnsi="Calibri" w:eastAsia="楷体_GB2312"/>
          <w:szCs w:val="32"/>
        </w:rPr>
      </w:pPr>
      <w:r>
        <w:rPr>
          <w:rFonts w:hint="eastAsia" w:ascii="楷体_GB2312" w:hAnsi="Calibri" w:eastAsia="楷体_GB2312"/>
          <w:szCs w:val="32"/>
        </w:rPr>
        <w:t>山西省人民政府金融工作办公室         20</w:t>
      </w:r>
      <w:r>
        <w:rPr>
          <w:rFonts w:ascii="楷体_GB2312" w:hAnsi="Calibri" w:eastAsia="楷体_GB2312"/>
          <w:szCs w:val="32"/>
        </w:rPr>
        <w:t>21</w:t>
      </w:r>
      <w:r>
        <w:rPr>
          <w:rFonts w:hint="eastAsia" w:ascii="楷体_GB2312" w:hAnsi="Calibri" w:eastAsia="楷体_GB2312"/>
          <w:szCs w:val="32"/>
        </w:rPr>
        <w:t>年7月2</w:t>
      </w:r>
      <w:r>
        <w:rPr>
          <w:rFonts w:ascii="楷体_GB2312" w:hAnsi="Calibri" w:eastAsia="楷体_GB2312"/>
          <w:szCs w:val="32"/>
        </w:rPr>
        <w:t>3</w:t>
      </w:r>
      <w:r>
        <w:rPr>
          <w:rFonts w:hint="eastAsia" w:ascii="楷体_GB2312" w:hAnsi="Calibri" w:eastAsia="楷体_GB2312"/>
          <w:szCs w:val="32"/>
        </w:rPr>
        <w:t>日</w:t>
      </w:r>
    </w:p>
    <w:p>
      <w:pPr>
        <w:snapToGrid w:val="0"/>
        <w:spacing w:line="240" w:lineRule="atLeast"/>
        <w:ind w:firstLine="0" w:firstLineChars="0"/>
        <w:jc w:val="center"/>
        <w:rPr>
          <w:rFonts w:ascii="Calibri" w:hAnsi="Calibri" w:eastAsia="宋体"/>
          <w:sz w:val="21"/>
        </w:rPr>
      </w:pPr>
      <w:r>
        <w:rPr>
          <w:rFonts w:ascii="Calibri" w:hAnsi="Calibri" w:eastAsia="宋体"/>
          <w:sz w:val="21"/>
        </w:rPr>
        <w:pict>
          <v:rect id="_x0000_i1026" o:spt="1" style="height:2.25pt;width:432pt;" fillcolor="#FF0000" filled="t" o:preferrelative="t" stroked="f" coordsize="21600,21600" o:hr="t" o:hrstd="t" o:hrnoshade="t" o:hralign="center">
            <v:path/>
            <v:fill on="t" focussize="0,0"/>
            <v:stroke on="f"/>
            <v:imagedata o:title=""/>
            <o:lock v:ext="edit"/>
            <w10:wrap type="none"/>
            <w10:anchorlock/>
          </v:rect>
        </w:pict>
      </w:r>
    </w:p>
    <w:sdt>
      <w:sdtPr>
        <w:rPr>
          <w:rFonts w:hint="eastAsia" w:ascii="黑体" w:hAnsi="黑体" w:eastAsia="黑体" w:cstheme="minorEastAsia"/>
          <w:sz w:val="28"/>
          <w:szCs w:val="28"/>
        </w:rPr>
        <w:id w:val="147480006"/>
        <w15:color w:val="DBDBDB"/>
        <w:docPartObj>
          <w:docPartGallery w:val="Table of Contents"/>
          <w:docPartUnique/>
        </w:docPartObj>
      </w:sdtPr>
      <w:sdtEndPr>
        <w:rPr>
          <w:rFonts w:hint="eastAsia" w:ascii="方正仿宋简体" w:hAnsi="Times New Roman" w:eastAsia="方正仿宋简体" w:cs="Times New Roman"/>
          <w:b/>
          <w:sz w:val="32"/>
          <w:szCs w:val="32"/>
        </w:rPr>
      </w:sdtEndPr>
      <w:sdtContent>
        <w:p>
          <w:pPr>
            <w:ind w:firstLine="0" w:firstLineChars="0"/>
            <w:jc w:val="center"/>
            <w:rPr>
              <w:rFonts w:ascii="黑体" w:hAnsi="黑体" w:eastAsia="黑体" w:cstheme="minorEastAsia"/>
              <w:sz w:val="28"/>
              <w:szCs w:val="28"/>
            </w:rPr>
          </w:pPr>
          <w:r>
            <w:rPr>
              <w:rFonts w:hint="eastAsia" w:ascii="黑体" w:hAnsi="黑体" w:eastAsia="黑体" w:cstheme="minorEastAsia"/>
              <w:sz w:val="28"/>
              <w:szCs w:val="28"/>
            </w:rPr>
            <w:t>目 录</w:t>
          </w:r>
        </w:p>
        <w:p>
          <w:pPr>
            <w:pStyle w:val="9"/>
            <w:tabs>
              <w:tab w:val="right" w:leader="dot" w:pos="8296"/>
            </w:tabs>
            <w:snapToGrid w:val="0"/>
            <w:spacing w:line="360" w:lineRule="auto"/>
            <w:ind w:firstLine="0" w:firstLineChars="0"/>
            <w:rPr>
              <w:rFonts w:asciiTheme="minorHAnsi" w:hAnsiTheme="minorHAnsi" w:eastAsiaTheme="minorEastAsia" w:cstheme="minorBidi"/>
              <w:sz w:val="24"/>
              <w:szCs w:val="24"/>
            </w:rPr>
          </w:pPr>
          <w:r>
            <w:rPr>
              <w:rFonts w:ascii="方正仿宋简体" w:eastAsia="方正仿宋简体"/>
              <w:sz w:val="24"/>
              <w:szCs w:val="24"/>
            </w:rPr>
            <w:fldChar w:fldCharType="begin"/>
          </w:r>
          <w:r>
            <w:rPr>
              <w:rFonts w:ascii="方正仿宋简体" w:eastAsia="方正仿宋简体"/>
              <w:sz w:val="24"/>
              <w:szCs w:val="24"/>
            </w:rPr>
            <w:instrText xml:space="preserve">TOC \o "1-2" \h \u </w:instrText>
          </w:r>
          <w:r>
            <w:rPr>
              <w:rFonts w:ascii="方正仿宋简体" w:eastAsia="方正仿宋简体"/>
              <w:sz w:val="24"/>
              <w:szCs w:val="24"/>
            </w:rPr>
            <w:fldChar w:fldCharType="separate"/>
          </w:r>
          <w:r>
            <w:fldChar w:fldCharType="begin"/>
          </w:r>
          <w:r>
            <w:instrText xml:space="preserve"> HYPERLINK \l "_Toc78827644" </w:instrText>
          </w:r>
          <w:r>
            <w:fldChar w:fldCharType="separate"/>
          </w:r>
          <w:r>
            <w:rPr>
              <w:rStyle w:val="20"/>
              <w:sz w:val="24"/>
              <w:szCs w:val="24"/>
            </w:rPr>
            <w:t>【</w:t>
          </w:r>
          <w:r>
            <w:rPr>
              <w:rStyle w:val="20"/>
              <w:rFonts w:hint="eastAsia"/>
              <w:sz w:val="24"/>
              <w:szCs w:val="24"/>
            </w:rPr>
            <w:t>专班动态</w:t>
          </w:r>
          <w:r>
            <w:rPr>
              <w:rStyle w:val="20"/>
              <w:sz w:val="24"/>
              <w:szCs w:val="24"/>
            </w:rPr>
            <w:t>】</w:t>
          </w:r>
          <w:r>
            <w:rPr>
              <w:sz w:val="24"/>
              <w:szCs w:val="24"/>
            </w:rPr>
            <w:tab/>
          </w:r>
          <w:r>
            <w:rPr>
              <w:sz w:val="24"/>
              <w:szCs w:val="24"/>
            </w:rPr>
            <w:fldChar w:fldCharType="begin"/>
          </w:r>
          <w:r>
            <w:rPr>
              <w:sz w:val="24"/>
              <w:szCs w:val="24"/>
            </w:rPr>
            <w:instrText xml:space="preserve"> PAGEREF _Toc78827644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1"/>
            <w:spacing w:line="360" w:lineRule="auto"/>
            <w:ind w:left="640" w:firstLine="0" w:firstLineChars="0"/>
            <w:rPr>
              <w:rFonts w:asciiTheme="minorHAnsi" w:hAnsiTheme="minorHAnsi" w:eastAsiaTheme="minorEastAsia" w:cstheme="minorBidi"/>
              <w:sz w:val="24"/>
              <w:szCs w:val="24"/>
            </w:rPr>
          </w:pPr>
          <w:r>
            <w:fldChar w:fldCharType="begin"/>
          </w:r>
          <w:r>
            <w:instrText xml:space="preserve"> HYPERLINK \l "_Toc78827645" </w:instrText>
          </w:r>
          <w:r>
            <w:fldChar w:fldCharType="separate"/>
          </w:r>
          <w:r>
            <w:rPr>
              <w:rStyle w:val="20"/>
              <w:sz w:val="24"/>
              <w:szCs w:val="24"/>
            </w:rPr>
            <w:t>▲全省推进金融服务业提质增效工作专班第一次会议召开</w:t>
          </w:r>
          <w:r>
            <w:rPr>
              <w:sz w:val="24"/>
              <w:szCs w:val="24"/>
            </w:rPr>
            <w:tab/>
          </w:r>
          <w:r>
            <w:rPr>
              <w:sz w:val="24"/>
              <w:szCs w:val="24"/>
            </w:rPr>
            <w:fldChar w:fldCharType="begin"/>
          </w:r>
          <w:r>
            <w:rPr>
              <w:sz w:val="24"/>
              <w:szCs w:val="24"/>
            </w:rPr>
            <w:instrText xml:space="preserve"> PAGEREF _Toc78827645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1"/>
            <w:spacing w:line="360" w:lineRule="auto"/>
            <w:ind w:left="640" w:firstLine="0" w:firstLineChars="0"/>
            <w:rPr>
              <w:rFonts w:asciiTheme="minorHAnsi" w:hAnsiTheme="minorHAnsi" w:eastAsiaTheme="minorEastAsia" w:cstheme="minorBidi"/>
              <w:sz w:val="24"/>
              <w:szCs w:val="24"/>
            </w:rPr>
          </w:pPr>
          <w:r>
            <w:fldChar w:fldCharType="begin"/>
          </w:r>
          <w:r>
            <w:instrText xml:space="preserve"> HYPERLINK \l "_Toc78827646" </w:instrText>
          </w:r>
          <w:r>
            <w:fldChar w:fldCharType="separate"/>
          </w:r>
          <w:r>
            <w:rPr>
              <w:rStyle w:val="20"/>
              <w:sz w:val="24"/>
              <w:szCs w:val="24"/>
            </w:rPr>
            <w:t>▲推进金融服务业提质增效工作10项意见实施</w:t>
          </w:r>
          <w:r>
            <w:rPr>
              <w:sz w:val="24"/>
              <w:szCs w:val="24"/>
            </w:rPr>
            <w:tab/>
          </w:r>
          <w:r>
            <w:rPr>
              <w:sz w:val="24"/>
              <w:szCs w:val="24"/>
            </w:rPr>
            <w:fldChar w:fldCharType="begin"/>
          </w:r>
          <w:r>
            <w:rPr>
              <w:sz w:val="24"/>
              <w:szCs w:val="24"/>
            </w:rPr>
            <w:instrText xml:space="preserve"> PAGEREF _Toc78827646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11"/>
            <w:spacing w:line="360" w:lineRule="auto"/>
            <w:ind w:left="640" w:firstLine="0" w:firstLineChars="0"/>
            <w:rPr>
              <w:rFonts w:asciiTheme="minorHAnsi" w:hAnsiTheme="minorHAnsi" w:eastAsiaTheme="minorEastAsia" w:cstheme="minorBidi"/>
              <w:sz w:val="24"/>
              <w:szCs w:val="24"/>
            </w:rPr>
          </w:pPr>
          <w:r>
            <w:fldChar w:fldCharType="begin"/>
          </w:r>
          <w:r>
            <w:instrText xml:space="preserve"> HYPERLINK \l "_Toc78827647" </w:instrText>
          </w:r>
          <w:r>
            <w:fldChar w:fldCharType="separate"/>
          </w:r>
          <w:r>
            <w:rPr>
              <w:rStyle w:val="20"/>
              <w:sz w:val="24"/>
              <w:szCs w:val="24"/>
            </w:rPr>
            <w:t>▲朔州市首单300万元知识产权质押贷款落地</w:t>
          </w:r>
          <w:r>
            <w:rPr>
              <w:sz w:val="24"/>
              <w:szCs w:val="24"/>
            </w:rPr>
            <w:tab/>
          </w:r>
          <w:r>
            <w:rPr>
              <w:sz w:val="24"/>
              <w:szCs w:val="24"/>
            </w:rPr>
            <w:fldChar w:fldCharType="begin"/>
          </w:r>
          <w:r>
            <w:rPr>
              <w:sz w:val="24"/>
              <w:szCs w:val="24"/>
            </w:rPr>
            <w:instrText xml:space="preserve"> PAGEREF _Toc78827647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9"/>
            <w:tabs>
              <w:tab w:val="right" w:leader="dot" w:pos="8296"/>
            </w:tabs>
            <w:snapToGrid w:val="0"/>
            <w:spacing w:line="360" w:lineRule="auto"/>
            <w:ind w:firstLine="0" w:firstLineChars="0"/>
            <w:rPr>
              <w:rFonts w:asciiTheme="minorHAnsi" w:hAnsiTheme="minorHAnsi" w:eastAsiaTheme="minorEastAsia" w:cstheme="minorBidi"/>
              <w:sz w:val="24"/>
              <w:szCs w:val="24"/>
            </w:rPr>
          </w:pPr>
          <w:r>
            <w:fldChar w:fldCharType="begin"/>
          </w:r>
          <w:r>
            <w:instrText xml:space="preserve"> HYPERLINK \l "_Toc78827648" </w:instrText>
          </w:r>
          <w:r>
            <w:fldChar w:fldCharType="separate"/>
          </w:r>
          <w:r>
            <w:rPr>
              <w:rStyle w:val="20"/>
              <w:sz w:val="24"/>
              <w:szCs w:val="24"/>
            </w:rPr>
            <w:t>【银行业专栏】</w:t>
          </w:r>
          <w:r>
            <w:rPr>
              <w:sz w:val="24"/>
              <w:szCs w:val="24"/>
            </w:rPr>
            <w:tab/>
          </w:r>
          <w:r>
            <w:rPr>
              <w:sz w:val="24"/>
              <w:szCs w:val="24"/>
            </w:rPr>
            <w:fldChar w:fldCharType="begin"/>
          </w:r>
          <w:r>
            <w:rPr>
              <w:sz w:val="24"/>
              <w:szCs w:val="24"/>
            </w:rPr>
            <w:instrText xml:space="preserve"> PAGEREF _Toc78827648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1"/>
            <w:spacing w:line="360" w:lineRule="auto"/>
            <w:ind w:left="640" w:firstLine="0" w:firstLineChars="0"/>
            <w:rPr>
              <w:rFonts w:asciiTheme="minorHAnsi" w:hAnsiTheme="minorHAnsi" w:eastAsiaTheme="minorEastAsia" w:cstheme="minorBidi"/>
              <w:sz w:val="24"/>
              <w:szCs w:val="24"/>
            </w:rPr>
          </w:pPr>
          <w:r>
            <w:fldChar w:fldCharType="begin"/>
          </w:r>
          <w:r>
            <w:instrText xml:space="preserve"> HYPERLINK \l "_Toc78827649" </w:instrText>
          </w:r>
          <w:r>
            <w:fldChar w:fldCharType="separate"/>
          </w:r>
          <w:r>
            <w:rPr>
              <w:rStyle w:val="20"/>
              <w:sz w:val="24"/>
              <w:szCs w:val="24"/>
            </w:rPr>
            <w:t>▲平安银行太原分行四措并举为金融服务提质增效</w:t>
          </w:r>
          <w:r>
            <w:rPr>
              <w:sz w:val="24"/>
              <w:szCs w:val="24"/>
            </w:rPr>
            <w:tab/>
          </w:r>
          <w:r>
            <w:rPr>
              <w:sz w:val="24"/>
              <w:szCs w:val="24"/>
            </w:rPr>
            <w:fldChar w:fldCharType="begin"/>
          </w:r>
          <w:r>
            <w:rPr>
              <w:sz w:val="24"/>
              <w:szCs w:val="24"/>
            </w:rPr>
            <w:instrText xml:space="preserve"> PAGEREF _Toc78827649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1"/>
            <w:spacing w:line="360" w:lineRule="auto"/>
            <w:ind w:left="640" w:firstLine="0" w:firstLineChars="0"/>
            <w:rPr>
              <w:rFonts w:asciiTheme="minorHAnsi" w:hAnsiTheme="minorHAnsi" w:eastAsiaTheme="minorEastAsia" w:cstheme="minorBidi"/>
              <w:sz w:val="24"/>
              <w:szCs w:val="24"/>
            </w:rPr>
          </w:pPr>
          <w:r>
            <w:fldChar w:fldCharType="begin"/>
          </w:r>
          <w:r>
            <w:instrText xml:space="preserve"> HYPERLINK \l "_Toc78827650" </w:instrText>
          </w:r>
          <w:r>
            <w:fldChar w:fldCharType="separate"/>
          </w:r>
          <w:r>
            <w:rPr>
              <w:rStyle w:val="20"/>
              <w:sz w:val="24"/>
              <w:szCs w:val="24"/>
            </w:rPr>
            <w:t>▲招商银行太原分行创新金融产品提升金融服务质效</w:t>
          </w:r>
          <w:r>
            <w:rPr>
              <w:sz w:val="24"/>
              <w:szCs w:val="24"/>
            </w:rPr>
            <w:tab/>
          </w:r>
          <w:r>
            <w:rPr>
              <w:sz w:val="24"/>
              <w:szCs w:val="24"/>
            </w:rPr>
            <w:fldChar w:fldCharType="begin"/>
          </w:r>
          <w:r>
            <w:rPr>
              <w:sz w:val="24"/>
              <w:szCs w:val="24"/>
            </w:rPr>
            <w:instrText xml:space="preserve"> PAGEREF _Toc78827650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11"/>
            <w:spacing w:line="360" w:lineRule="auto"/>
            <w:ind w:left="640" w:firstLine="0" w:firstLineChars="0"/>
            <w:rPr>
              <w:rFonts w:asciiTheme="minorHAnsi" w:hAnsiTheme="minorHAnsi" w:eastAsiaTheme="minorEastAsia" w:cstheme="minorBidi"/>
              <w:sz w:val="24"/>
              <w:szCs w:val="24"/>
            </w:rPr>
          </w:pPr>
          <w:r>
            <w:fldChar w:fldCharType="begin"/>
          </w:r>
          <w:r>
            <w:instrText xml:space="preserve"> HYPERLINK \l "_Toc78827651" </w:instrText>
          </w:r>
          <w:r>
            <w:fldChar w:fldCharType="separate"/>
          </w:r>
          <w:r>
            <w:rPr>
              <w:rStyle w:val="20"/>
              <w:sz w:val="24"/>
              <w:szCs w:val="24"/>
            </w:rPr>
            <w:t>▲华夏银行“商行+投行”金融服务加快融资项目落地</w:t>
          </w:r>
          <w:r>
            <w:rPr>
              <w:sz w:val="24"/>
              <w:szCs w:val="24"/>
            </w:rPr>
            <w:tab/>
          </w:r>
          <w:r>
            <w:rPr>
              <w:sz w:val="24"/>
              <w:szCs w:val="24"/>
            </w:rPr>
            <w:fldChar w:fldCharType="begin"/>
          </w:r>
          <w:r>
            <w:rPr>
              <w:sz w:val="24"/>
              <w:szCs w:val="24"/>
            </w:rPr>
            <w:instrText xml:space="preserve"> PAGEREF _Toc78827651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11"/>
            <w:spacing w:line="360" w:lineRule="auto"/>
            <w:ind w:left="640" w:firstLine="0" w:firstLineChars="0"/>
            <w:rPr>
              <w:rFonts w:asciiTheme="minorHAnsi" w:hAnsiTheme="minorHAnsi" w:eastAsiaTheme="minorEastAsia" w:cstheme="minorBidi"/>
              <w:sz w:val="24"/>
              <w:szCs w:val="24"/>
            </w:rPr>
          </w:pPr>
          <w:r>
            <w:fldChar w:fldCharType="begin"/>
          </w:r>
          <w:r>
            <w:instrText xml:space="preserve"> HYPERLINK \l "_Toc78827652" </w:instrText>
          </w:r>
          <w:r>
            <w:fldChar w:fldCharType="separate"/>
          </w:r>
          <w:r>
            <w:rPr>
              <w:rStyle w:val="20"/>
              <w:sz w:val="24"/>
              <w:szCs w:val="24"/>
            </w:rPr>
            <w:t>▲</w:t>
          </w:r>
          <w:r>
            <w:rPr>
              <w:rStyle w:val="20"/>
              <w:sz w:val="24"/>
              <w:szCs w:val="24"/>
              <w:lang w:eastAsia="zh-Hans"/>
            </w:rPr>
            <w:t>山西银行聚焦绿色金融和小微信贷推进精准滴灌</w:t>
          </w:r>
          <w:r>
            <w:rPr>
              <w:sz w:val="24"/>
              <w:szCs w:val="24"/>
            </w:rPr>
            <w:tab/>
          </w:r>
          <w:r>
            <w:rPr>
              <w:sz w:val="24"/>
              <w:szCs w:val="24"/>
            </w:rPr>
            <w:fldChar w:fldCharType="begin"/>
          </w:r>
          <w:r>
            <w:rPr>
              <w:sz w:val="24"/>
              <w:szCs w:val="24"/>
            </w:rPr>
            <w:instrText xml:space="preserve"> PAGEREF _Toc78827652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9"/>
            <w:tabs>
              <w:tab w:val="right" w:leader="dot" w:pos="8296"/>
            </w:tabs>
            <w:snapToGrid w:val="0"/>
            <w:spacing w:line="360" w:lineRule="auto"/>
            <w:ind w:firstLine="0" w:firstLineChars="0"/>
            <w:rPr>
              <w:rFonts w:asciiTheme="minorHAnsi" w:hAnsiTheme="minorHAnsi" w:eastAsiaTheme="minorEastAsia" w:cstheme="minorBidi"/>
              <w:sz w:val="24"/>
              <w:szCs w:val="24"/>
            </w:rPr>
          </w:pPr>
          <w:r>
            <w:fldChar w:fldCharType="begin"/>
          </w:r>
          <w:r>
            <w:instrText xml:space="preserve"> HYPERLINK \l "_Toc78827653" </w:instrText>
          </w:r>
          <w:r>
            <w:fldChar w:fldCharType="separate"/>
          </w:r>
          <w:r>
            <w:rPr>
              <w:rStyle w:val="20"/>
              <w:sz w:val="24"/>
              <w:szCs w:val="24"/>
            </w:rPr>
            <w:t>【保险业专栏】</w:t>
          </w:r>
          <w:r>
            <w:rPr>
              <w:sz w:val="24"/>
              <w:szCs w:val="24"/>
            </w:rPr>
            <w:tab/>
          </w:r>
          <w:r>
            <w:rPr>
              <w:sz w:val="24"/>
              <w:szCs w:val="24"/>
            </w:rPr>
            <w:fldChar w:fldCharType="begin"/>
          </w:r>
          <w:r>
            <w:rPr>
              <w:sz w:val="24"/>
              <w:szCs w:val="24"/>
            </w:rPr>
            <w:instrText xml:space="preserve"> PAGEREF _Toc78827653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11"/>
            <w:spacing w:line="360" w:lineRule="auto"/>
            <w:ind w:left="640" w:firstLine="0" w:firstLineChars="0"/>
            <w:rPr>
              <w:rFonts w:asciiTheme="minorHAnsi" w:hAnsiTheme="minorHAnsi" w:eastAsiaTheme="minorEastAsia" w:cstheme="minorBidi"/>
              <w:sz w:val="24"/>
              <w:szCs w:val="24"/>
            </w:rPr>
          </w:pPr>
          <w:r>
            <w:fldChar w:fldCharType="begin"/>
          </w:r>
          <w:r>
            <w:instrText xml:space="preserve"> HYPERLINK \l "_Toc78827654" </w:instrText>
          </w:r>
          <w:r>
            <w:fldChar w:fldCharType="separate"/>
          </w:r>
          <w:r>
            <w:rPr>
              <w:rStyle w:val="20"/>
              <w:sz w:val="24"/>
              <w:szCs w:val="24"/>
            </w:rPr>
            <w:t>▲交银人寿山西省分公司践行为民初心，强化服务意识</w:t>
          </w:r>
          <w:r>
            <w:rPr>
              <w:sz w:val="24"/>
              <w:szCs w:val="24"/>
            </w:rPr>
            <w:tab/>
          </w:r>
          <w:r>
            <w:rPr>
              <w:sz w:val="24"/>
              <w:szCs w:val="24"/>
            </w:rPr>
            <w:fldChar w:fldCharType="begin"/>
          </w:r>
          <w:r>
            <w:rPr>
              <w:sz w:val="24"/>
              <w:szCs w:val="24"/>
            </w:rPr>
            <w:instrText xml:space="preserve"> PAGEREF _Toc78827654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11"/>
            <w:spacing w:line="360" w:lineRule="auto"/>
            <w:ind w:left="640" w:firstLine="0" w:firstLineChars="0"/>
            <w:rPr>
              <w:rFonts w:asciiTheme="minorHAnsi" w:hAnsiTheme="minorHAnsi" w:eastAsiaTheme="minorEastAsia" w:cstheme="minorBidi"/>
              <w:sz w:val="24"/>
              <w:szCs w:val="24"/>
            </w:rPr>
          </w:pPr>
          <w:r>
            <w:fldChar w:fldCharType="begin"/>
          </w:r>
          <w:r>
            <w:instrText xml:space="preserve"> HYPERLINK \l "_Toc78827655" </w:instrText>
          </w:r>
          <w:r>
            <w:fldChar w:fldCharType="separate"/>
          </w:r>
          <w:r>
            <w:rPr>
              <w:rStyle w:val="20"/>
              <w:sz w:val="24"/>
              <w:szCs w:val="24"/>
            </w:rPr>
            <w:t>▲泰康人寿山西分公司优化业务结构持续回归本源</w:t>
          </w:r>
          <w:r>
            <w:rPr>
              <w:sz w:val="24"/>
              <w:szCs w:val="24"/>
            </w:rPr>
            <w:tab/>
          </w:r>
          <w:r>
            <w:rPr>
              <w:sz w:val="24"/>
              <w:szCs w:val="24"/>
            </w:rPr>
            <w:fldChar w:fldCharType="begin"/>
          </w:r>
          <w:r>
            <w:rPr>
              <w:sz w:val="24"/>
              <w:szCs w:val="24"/>
            </w:rPr>
            <w:instrText xml:space="preserve"> PAGEREF _Toc78827655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11"/>
            <w:spacing w:line="360" w:lineRule="auto"/>
            <w:ind w:left="640" w:firstLine="0" w:firstLineChars="0"/>
            <w:rPr>
              <w:rFonts w:asciiTheme="minorHAnsi" w:hAnsiTheme="minorHAnsi" w:eastAsiaTheme="minorEastAsia" w:cstheme="minorBidi"/>
              <w:sz w:val="24"/>
              <w:szCs w:val="24"/>
            </w:rPr>
          </w:pPr>
          <w:r>
            <w:fldChar w:fldCharType="begin"/>
          </w:r>
          <w:r>
            <w:instrText xml:space="preserve"> HYPERLINK \l "_Toc78827656" </w:instrText>
          </w:r>
          <w:r>
            <w:fldChar w:fldCharType="separate"/>
          </w:r>
          <w:r>
            <w:rPr>
              <w:rStyle w:val="20"/>
              <w:sz w:val="24"/>
              <w:szCs w:val="24"/>
            </w:rPr>
            <w:t>▲英大人寿山西分公司依托税优健康险强化增长</w:t>
          </w:r>
          <w:r>
            <w:rPr>
              <w:sz w:val="24"/>
              <w:szCs w:val="24"/>
            </w:rPr>
            <w:tab/>
          </w:r>
          <w:r>
            <w:rPr>
              <w:sz w:val="24"/>
              <w:szCs w:val="24"/>
            </w:rPr>
            <w:fldChar w:fldCharType="begin"/>
          </w:r>
          <w:r>
            <w:rPr>
              <w:sz w:val="24"/>
              <w:szCs w:val="24"/>
            </w:rPr>
            <w:instrText xml:space="preserve"> PAGEREF _Toc78827656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9"/>
            <w:tabs>
              <w:tab w:val="right" w:leader="dot" w:pos="8296"/>
            </w:tabs>
            <w:snapToGrid w:val="0"/>
            <w:spacing w:line="360" w:lineRule="auto"/>
            <w:ind w:firstLine="0" w:firstLineChars="0"/>
            <w:rPr>
              <w:rFonts w:asciiTheme="minorHAnsi" w:hAnsiTheme="minorHAnsi" w:eastAsiaTheme="minorEastAsia" w:cstheme="minorBidi"/>
              <w:sz w:val="24"/>
              <w:szCs w:val="24"/>
            </w:rPr>
          </w:pPr>
          <w:r>
            <w:fldChar w:fldCharType="begin"/>
          </w:r>
          <w:r>
            <w:instrText xml:space="preserve"> HYPERLINK \l "_Toc78827657" </w:instrText>
          </w:r>
          <w:r>
            <w:fldChar w:fldCharType="separate"/>
          </w:r>
          <w:r>
            <w:rPr>
              <w:rStyle w:val="20"/>
              <w:sz w:val="24"/>
              <w:szCs w:val="24"/>
            </w:rPr>
            <w:t>【证券业专栏】</w:t>
          </w:r>
          <w:r>
            <w:rPr>
              <w:sz w:val="24"/>
              <w:szCs w:val="24"/>
            </w:rPr>
            <w:tab/>
          </w:r>
          <w:r>
            <w:rPr>
              <w:sz w:val="24"/>
              <w:szCs w:val="24"/>
            </w:rPr>
            <w:fldChar w:fldCharType="begin"/>
          </w:r>
          <w:r>
            <w:rPr>
              <w:sz w:val="24"/>
              <w:szCs w:val="24"/>
            </w:rPr>
            <w:instrText xml:space="preserve"> PAGEREF _Toc78827657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1"/>
            <w:spacing w:line="360" w:lineRule="auto"/>
            <w:ind w:left="640" w:firstLine="0" w:firstLineChars="0"/>
            <w:rPr>
              <w:rFonts w:asciiTheme="minorHAnsi" w:hAnsiTheme="minorHAnsi" w:eastAsiaTheme="minorEastAsia" w:cstheme="minorBidi"/>
              <w:sz w:val="24"/>
              <w:szCs w:val="24"/>
            </w:rPr>
          </w:pPr>
          <w:r>
            <w:fldChar w:fldCharType="begin"/>
          </w:r>
          <w:r>
            <w:instrText xml:space="preserve"> HYPERLINK \l "_Toc78827658" </w:instrText>
          </w:r>
          <w:r>
            <w:fldChar w:fldCharType="separate"/>
          </w:r>
          <w:r>
            <w:rPr>
              <w:rStyle w:val="20"/>
              <w:sz w:val="24"/>
              <w:szCs w:val="24"/>
            </w:rPr>
            <w:t>▲申万宏源证券山西分公司建立投行目标客户“数据地图”</w:t>
          </w:r>
          <w:r>
            <w:rPr>
              <w:sz w:val="24"/>
              <w:szCs w:val="24"/>
            </w:rPr>
            <w:tab/>
          </w:r>
          <w:r>
            <w:rPr>
              <w:sz w:val="24"/>
              <w:szCs w:val="24"/>
            </w:rPr>
            <w:fldChar w:fldCharType="begin"/>
          </w:r>
          <w:r>
            <w:rPr>
              <w:sz w:val="24"/>
              <w:szCs w:val="24"/>
            </w:rPr>
            <w:instrText xml:space="preserve"> PAGEREF _Toc78827658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1"/>
            <w:spacing w:line="360" w:lineRule="auto"/>
            <w:ind w:left="640" w:firstLine="0" w:firstLineChars="0"/>
            <w:rPr>
              <w:rFonts w:asciiTheme="minorHAnsi" w:hAnsiTheme="minorHAnsi" w:eastAsiaTheme="minorEastAsia" w:cstheme="minorBidi"/>
              <w:sz w:val="24"/>
              <w:szCs w:val="24"/>
            </w:rPr>
          </w:pPr>
          <w:r>
            <w:fldChar w:fldCharType="begin"/>
          </w:r>
          <w:r>
            <w:instrText xml:space="preserve"> HYPERLINK \l "_Toc78827659" </w:instrText>
          </w:r>
          <w:r>
            <w:fldChar w:fldCharType="separate"/>
          </w:r>
          <w:r>
            <w:rPr>
              <w:rStyle w:val="20"/>
              <w:sz w:val="24"/>
              <w:szCs w:val="24"/>
            </w:rPr>
            <w:t>▲西南证券山西分公司为文旅集团非公开发行债券8亿元</w:t>
          </w:r>
          <w:r>
            <w:rPr>
              <w:sz w:val="24"/>
              <w:szCs w:val="24"/>
            </w:rPr>
            <w:tab/>
          </w:r>
          <w:r>
            <w:rPr>
              <w:sz w:val="24"/>
              <w:szCs w:val="24"/>
            </w:rPr>
            <w:fldChar w:fldCharType="begin"/>
          </w:r>
          <w:r>
            <w:rPr>
              <w:sz w:val="24"/>
              <w:szCs w:val="24"/>
            </w:rPr>
            <w:instrText xml:space="preserve"> PAGEREF _Toc78827659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2"/>
            <w:snapToGrid w:val="0"/>
            <w:spacing w:after="0" w:line="360" w:lineRule="auto"/>
            <w:ind w:left="0" w:leftChars="0" w:firstLine="0" w:firstLineChars="0"/>
            <w:jc w:val="left"/>
          </w:pPr>
          <w:r>
            <w:rPr>
              <w:rFonts w:ascii="方正仿宋简体" w:eastAsia="方正仿宋简体"/>
              <w:sz w:val="24"/>
              <w:szCs w:val="24"/>
            </w:rPr>
            <w:fldChar w:fldCharType="end"/>
          </w:r>
        </w:p>
      </w:sdtContent>
    </w:sdt>
    <w:p>
      <w:pPr>
        <w:pStyle w:val="4"/>
        <w:spacing w:before="0" w:after="0" w:line="600" w:lineRule="exact"/>
        <w:rPr>
          <w:sz w:val="32"/>
          <w:szCs w:val="32"/>
        </w:rPr>
      </w:pPr>
      <w:bookmarkStart w:id="0" w:name="_Toc78827644"/>
      <w:r>
        <w:rPr>
          <w:rFonts w:hint="eastAsia"/>
          <w:sz w:val="32"/>
          <w:szCs w:val="32"/>
        </w:rPr>
        <w:t>【专班动态】</w:t>
      </w:r>
      <w:bookmarkEnd w:id="0"/>
    </w:p>
    <w:p>
      <w:pPr>
        <w:pStyle w:val="5"/>
        <w:spacing w:before="0" w:after="0" w:line="600" w:lineRule="exact"/>
        <w:rPr>
          <w:sz w:val="32"/>
        </w:rPr>
      </w:pPr>
      <w:bookmarkStart w:id="1" w:name="_Toc78827645"/>
      <w:r>
        <w:rPr>
          <w:rFonts w:hint="eastAsia"/>
          <w:sz w:val="32"/>
        </w:rPr>
        <w:t>▲全省推</w:t>
      </w:r>
      <w:bookmarkStart w:id="17" w:name="_GoBack"/>
      <w:bookmarkEnd w:id="17"/>
      <w:r>
        <w:rPr>
          <w:rFonts w:hint="eastAsia"/>
          <w:sz w:val="32"/>
        </w:rPr>
        <w:t>进金融服务业提质增效</w:t>
      </w:r>
      <w:bookmarkStart w:id="2" w:name="_Hlk78821847"/>
      <w:r>
        <w:rPr>
          <w:rFonts w:hint="eastAsia"/>
          <w:sz w:val="32"/>
        </w:rPr>
        <w:t>工作专班</w:t>
      </w:r>
      <w:bookmarkEnd w:id="2"/>
      <w:r>
        <w:rPr>
          <w:rFonts w:hint="eastAsia"/>
          <w:sz w:val="32"/>
        </w:rPr>
        <w:t>第一次会议召开</w:t>
      </w:r>
      <w:bookmarkEnd w:id="1"/>
    </w:p>
    <w:p>
      <w:pPr>
        <w:spacing w:line="600" w:lineRule="exact"/>
        <w:ind w:firstLine="640"/>
      </w:pPr>
      <w:r>
        <w:rPr>
          <w:rFonts w:hint="eastAsia"/>
        </w:rPr>
        <w:t>7月30日，为贯彻落实全省服务业提质增效推进大会精神，省金融办牵头组建了由常国华主任任组长，省金融办、人民银行太原中心支行、山西银保监局、山西证监局分管领导为成员的山西省推进金融服务业提质增效工作专班，并召开了工作专班第一次会议，传达全省服务业提质增效推进大会会议精神和7月26日王一新副省长在金融业发展专题会议上的指示要求，讨论专班工作职责和我省《金融提振赶超行动方案（征求意见稿）》，研究部署下一步工作。</w:t>
      </w:r>
    </w:p>
    <w:p>
      <w:pPr>
        <w:spacing w:line="600" w:lineRule="exact"/>
        <w:ind w:firstLine="640"/>
      </w:pPr>
      <w:r>
        <w:rPr>
          <w:rFonts w:hint="eastAsia"/>
        </w:rPr>
        <w:t>会议强调，工作专班要坚决落实省委、省政府决策部署，统筹推进全省金融服务业提质增效工作。各成员单位要紧密配合，加强信息沟通、资源共享和政策联动，通力解决工作推进中的重点难点问题，确保金融服务业提质增效工作取得明显进展。要围绕进一步疏通金融政策传导机制，打通金融服务实体经济的堵点痛点，全力推动融资扩面增量、融资方式创新，持续降低融资综合成本，有效提高融资便利度，切实增强金融服务实体经济能力，积极修改完善、尽快出台并实施好我省金融提振赶超行动方案。</w:t>
      </w:r>
    </w:p>
    <w:p>
      <w:pPr>
        <w:widowControl/>
        <w:spacing w:line="600" w:lineRule="exact"/>
        <w:ind w:firstLine="640"/>
        <w:rPr>
          <w:rFonts w:ascii="仿宋_GB2312" w:hAnsi="仿宋_GB2312" w:cs="仿宋_GB2312"/>
          <w:szCs w:val="32"/>
        </w:rPr>
      </w:pPr>
      <w:r>
        <w:rPr>
          <w:rFonts w:hint="eastAsia"/>
        </w:rPr>
        <w:t>会议明确工作专班主要职责和工作机制：</w:t>
      </w:r>
      <w:r>
        <w:rPr>
          <w:rFonts w:hint="eastAsia" w:ascii="仿宋_GB2312" w:hAnsi="仿宋_GB2312" w:cs="仿宋_GB2312"/>
          <w:szCs w:val="32"/>
        </w:rPr>
        <w:t>一是落实省委、省政府决策部署，统筹推进全省金融服务业提质增效工作。二是制定出台金融提振赶超行动方案并按照职责分工落地实施。三是推动各成员单位间工作信息沟通、资源共享和政策联动，加强政策研究和数据分析。及时收集整理全国、中部六省及贵州、内蒙等省份金融业增加值、存贷款、原保费收入、证券交易额等数据，系统开展纵向、横向类比分析。持续跟踪国家金融政策，及时掌握最新政策动态。四是统筹解决工作推进中的重点难点问题，力争完成金融业增加值全年目标。工作专班按月召开例会，分析研判形势，研究制定工作推进的具体措施。各专班成员单位结合职能，认真落实专班例会明确的工作任务。</w:t>
      </w:r>
    </w:p>
    <w:p>
      <w:pPr>
        <w:pStyle w:val="5"/>
        <w:spacing w:before="0" w:after="0" w:line="600" w:lineRule="exact"/>
        <w:rPr>
          <w:rStyle w:val="33"/>
          <w:rFonts w:ascii="楷体_GB2312"/>
          <w:bCs/>
          <w:sz w:val="32"/>
          <w:szCs w:val="28"/>
        </w:rPr>
      </w:pPr>
      <w:bookmarkStart w:id="3" w:name="_Toc78827646"/>
      <w:r>
        <w:rPr>
          <w:rFonts w:hint="eastAsia"/>
          <w:sz w:val="32"/>
          <w:szCs w:val="28"/>
        </w:rPr>
        <w:t>▲推进金融服务业提质增效工作10项意见</w:t>
      </w:r>
      <w:bookmarkEnd w:id="3"/>
      <w:r>
        <w:rPr>
          <w:rFonts w:hint="eastAsia"/>
          <w:sz w:val="32"/>
          <w:szCs w:val="28"/>
        </w:rPr>
        <w:t>施行</w:t>
      </w:r>
    </w:p>
    <w:p>
      <w:pPr>
        <w:spacing w:line="600" w:lineRule="exact"/>
        <w:ind w:firstLine="640"/>
      </w:pPr>
      <w:r>
        <w:rPr>
          <w:rFonts w:hint="eastAsia"/>
        </w:rPr>
        <w:t>全省服务业提质增效推进大会召开当日下午，省地方金融监管局（省金融办）召开党组（扩大）会议，传达学习会议精神和林武书记、蓝佛安省长和王一新副省长重要指示，研究提出《推进金融服务业提质增效工作实施意见》，明确10项具体举措。</w:t>
      </w:r>
    </w:p>
    <w:p>
      <w:pPr>
        <w:spacing w:line="600" w:lineRule="exact"/>
        <w:ind w:firstLine="640"/>
      </w:pPr>
      <w:r>
        <w:rPr>
          <w:rFonts w:hint="eastAsia"/>
        </w:rPr>
        <w:t>一是成立专班细化方案。成立全省推进金融服务业提质增效工作专班，细化制定《金融提振赶超行动方案》。各市相应成立市级推进金融服务业提质增效工作专班。</w:t>
      </w:r>
    </w:p>
    <w:p>
      <w:pPr>
        <w:spacing w:line="600" w:lineRule="exact"/>
        <w:ind w:firstLine="640"/>
      </w:pPr>
      <w:r>
        <w:rPr>
          <w:rFonts w:hint="eastAsia"/>
        </w:rPr>
        <w:t>二是建立政策研究机制。持续跟踪掌握金融宏观政策，特别是煤企信贷政策动态，对存贷款、存贷比、新增贷款存贷比等指标逐月监测分析，研判政策趋向和形势变化，提出措施建议。</w:t>
      </w:r>
    </w:p>
    <w:p>
      <w:pPr>
        <w:spacing w:line="600" w:lineRule="exact"/>
        <w:ind w:firstLine="640"/>
      </w:pPr>
      <w:r>
        <w:rPr>
          <w:rFonts w:hint="eastAsia"/>
        </w:rPr>
        <w:t>三是完善数据统计制度。构建常态化数据统计制度，及时收集整理全国、中部六省及贵州、内蒙等省份金融业增加值、存贷款、原保费收入、证券交易额等数据，系统开展纵向、横向类比分析。</w:t>
      </w:r>
    </w:p>
    <w:p>
      <w:pPr>
        <w:spacing w:line="600" w:lineRule="exact"/>
        <w:ind w:firstLine="640"/>
      </w:pPr>
      <w:r>
        <w:rPr>
          <w:rFonts w:hint="eastAsia"/>
        </w:rPr>
        <w:t>四是常态化政银企对接。强化与国资、发改、工信等厅局和国资运营公司的对接联系，及时了解掌握银行业机构信贷政策导向和信贷投放意向；聚焦市域重大项目和薄弱领域，全力打通对接通道堵点，全省同步开展煤企、“三个一批”、中小微企业、乡村振兴、灾后重建等多层次、常态化政银企对接，强化示范带动和后续跟踪，积极引导市场预期，确保资金落地见效。</w:t>
      </w:r>
    </w:p>
    <w:p>
      <w:pPr>
        <w:spacing w:line="600" w:lineRule="exact"/>
        <w:ind w:firstLine="640"/>
      </w:pPr>
      <w:r>
        <w:rPr>
          <w:rFonts w:hint="eastAsia"/>
        </w:rPr>
        <w:t>五是用足用好平台功能。调研推动省金融服务平台强化银企双向信息发布和精准对接，支持推进太原征信服务平台建设，充分发挥融资服务和企业征信双平台作用，进一步提升政银企常态化对接精准度和获得信贷便利化水平。</w:t>
      </w:r>
    </w:p>
    <w:p>
      <w:pPr>
        <w:spacing w:line="600" w:lineRule="exact"/>
        <w:ind w:firstLine="640"/>
      </w:pPr>
      <w:r>
        <w:rPr>
          <w:rFonts w:hint="eastAsia"/>
        </w:rPr>
        <w:t>六是强化政策联动互补。进一步整合券商、险资、融担、基金在推进金融业提质增效中的补充作用，组织开展险资入晋、上市公司融资、政府投资基金专场对接活动，强化新型融资工具和政策效用的互补。结合原保费收入、证券交易额规模小增速低实际情况，分市域摸底保险业、证券业机构覆盖情况，证券机构、保险机构较少的市要将引进相关机构纳入招商引资范围，出台相关政策引进更多机构，促进保费收入、证券交易额做大规模。</w:t>
      </w:r>
    </w:p>
    <w:p>
      <w:pPr>
        <w:spacing w:line="600" w:lineRule="exact"/>
        <w:ind w:firstLine="640"/>
      </w:pPr>
      <w:r>
        <w:rPr>
          <w:rFonts w:hint="eastAsia"/>
        </w:rPr>
        <w:t>七是推进上市倍增计划。组织召开《推进企业上市“倍增”计划》新闻发布会，组织全省拟上市企业进行政策宣传培训，并统一组织赴11个市政策宣讲，全面解读核心要义。提请将企业上市倍增计划执行情况纳入目标责任制考核体系。争取紫林醋业年内上市。</w:t>
      </w:r>
    </w:p>
    <w:p>
      <w:pPr>
        <w:spacing w:line="600" w:lineRule="exact"/>
        <w:ind w:firstLine="640"/>
      </w:pPr>
      <w:r>
        <w:rPr>
          <w:rFonts w:hint="eastAsia"/>
        </w:rPr>
        <w:t>八是深化金融机构调研。继续组织赴银行、证券、保险业、基金等金融机构调研，进一步扩大调研工作的深度和广度，分析研判形势，研究解决问题，推进地方金融机构做强做大。</w:t>
      </w:r>
    </w:p>
    <w:p>
      <w:pPr>
        <w:spacing w:line="600" w:lineRule="exact"/>
        <w:ind w:firstLine="640"/>
      </w:pPr>
      <w:r>
        <w:rPr>
          <w:rFonts w:hint="eastAsia"/>
        </w:rPr>
        <w:t>九是发挥考核评价作用。严格执行并切实运用好已制定出台的金融机构服务地方、金融服务民营企业和小微企业等系列考核评价办法，强化考核指挥棒和风向标作用。</w:t>
      </w:r>
    </w:p>
    <w:p>
      <w:pPr>
        <w:spacing w:line="600" w:lineRule="exact"/>
        <w:ind w:firstLine="640"/>
        <w:rPr>
          <w:szCs w:val="32"/>
        </w:rPr>
      </w:pPr>
      <w:r>
        <w:rPr>
          <w:rFonts w:hint="eastAsia"/>
        </w:rPr>
        <w:t>十是完善月度调度机制。全省金融服务业提质增效工作每月10日前专</w:t>
      </w:r>
      <w:r>
        <w:rPr>
          <w:rFonts w:hint="eastAsia"/>
          <w:szCs w:val="32"/>
        </w:rPr>
        <w:t>题研究调度，分析研判形势，研究制定工作推进的具体措施。</w:t>
      </w:r>
    </w:p>
    <w:p>
      <w:pPr>
        <w:pStyle w:val="5"/>
        <w:spacing w:before="0" w:after="0" w:line="600" w:lineRule="exact"/>
        <w:rPr>
          <w:sz w:val="32"/>
        </w:rPr>
      </w:pPr>
      <w:bookmarkStart w:id="4" w:name="_Toc78827647"/>
      <w:r>
        <w:rPr>
          <w:rFonts w:hint="eastAsia"/>
          <w:sz w:val="32"/>
        </w:rPr>
        <w:t>▲朔州市首单300万元知识产权质押贷款落地</w:t>
      </w:r>
      <w:bookmarkEnd w:id="4"/>
    </w:p>
    <w:p>
      <w:pPr>
        <w:spacing w:line="600" w:lineRule="exact"/>
        <w:ind w:firstLine="640"/>
        <w:rPr>
          <w:szCs w:val="32"/>
        </w:rPr>
      </w:pPr>
      <w:r>
        <w:rPr>
          <w:rFonts w:hint="eastAsia"/>
        </w:rPr>
        <w:t>7月8日，朔州市举办金融助力科技创新暨知识产权质押融资签约仪式，浦发银行朔州分行与山西晋坤矿产品有限责任公司现场达成专精特新“小巨人”发明专利质押贷款授信意向。7月29日，300万元知识产权质押贷款成功落地，开创朔州市首</w:t>
      </w:r>
      <w:r>
        <w:rPr>
          <w:rFonts w:hint="eastAsia"/>
          <w:szCs w:val="32"/>
        </w:rPr>
        <w:t>笔发明专利质押贷款，是推进金融创新的一次破冰行动，为持续优化市营商环境增添一抹亮色。</w:t>
      </w:r>
    </w:p>
    <w:p>
      <w:pPr>
        <w:pStyle w:val="4"/>
        <w:spacing w:before="0" w:after="0" w:line="600" w:lineRule="exact"/>
        <w:rPr>
          <w:sz w:val="32"/>
          <w:szCs w:val="32"/>
        </w:rPr>
      </w:pPr>
      <w:bookmarkStart w:id="5" w:name="_Toc78827648"/>
      <w:r>
        <w:rPr>
          <w:rFonts w:hint="eastAsia"/>
          <w:sz w:val="32"/>
          <w:szCs w:val="32"/>
        </w:rPr>
        <w:t>【银行业专栏】</w:t>
      </w:r>
      <w:bookmarkEnd w:id="5"/>
    </w:p>
    <w:p>
      <w:pPr>
        <w:pStyle w:val="5"/>
        <w:spacing w:before="0" w:after="0" w:line="600" w:lineRule="exact"/>
        <w:rPr>
          <w:sz w:val="32"/>
        </w:rPr>
      </w:pPr>
      <w:bookmarkStart w:id="6" w:name="_Toc78827649"/>
      <w:r>
        <w:rPr>
          <w:rFonts w:hint="eastAsia"/>
          <w:sz w:val="32"/>
        </w:rPr>
        <w:t>▲平安银行太原分行四措并举为金融服务提质增效</w:t>
      </w:r>
      <w:bookmarkEnd w:id="6"/>
    </w:p>
    <w:p>
      <w:pPr>
        <w:spacing w:line="600" w:lineRule="exact"/>
        <w:ind w:firstLine="640"/>
      </w:pPr>
      <w:r>
        <w:rPr>
          <w:rFonts w:hint="eastAsia"/>
        </w:rPr>
        <w:t>一是运用创新产品，支持企业发展。针对山西省煤炭企业票据使用量大的特点，运用各类交易银行传统及创新产品，例如传统商票保贴、开立银行承兑汇票、线上票据池、极速贴现及平安好链线产品，支持企业大力发展，7月23日至今，平安银行太原分行落地银票极速贴业务金额合计0.4亿元；商票保贴业务金额合计0.02亿元；开立传统银行承兑汇票业务金额合计3.6亿元，线上票据池金额合计0.7亿元。</w:t>
      </w:r>
    </w:p>
    <w:p>
      <w:pPr>
        <w:spacing w:line="600" w:lineRule="exact"/>
        <w:ind w:firstLine="640"/>
      </w:pPr>
      <w:r>
        <w:rPr>
          <w:rFonts w:hint="eastAsia"/>
        </w:rPr>
        <w:t>二是扩大直融规模，提供多渠道融资服务。密切关注市场动态及二级交易情况，重点跟踪投资人意愿，调整发行人预期，合理规划发行方案，先后为晋能控股承销发行三笔债务融资工具，发行规模共计26亿元，7月下旬为晋能控股电力集团有限公司发行公开发行债券承销</w:t>
      </w:r>
      <w:r>
        <w:t>10</w:t>
      </w:r>
      <w:r>
        <w:rPr>
          <w:rFonts w:hint="eastAsia"/>
        </w:rPr>
        <w:t>亿。</w:t>
      </w:r>
    </w:p>
    <w:p>
      <w:pPr>
        <w:spacing w:line="600" w:lineRule="exact"/>
        <w:ind w:firstLine="640"/>
      </w:pPr>
      <w:r>
        <w:rPr>
          <w:rFonts w:hint="eastAsia"/>
        </w:rPr>
        <w:t>三是支持能源革命，加大对重点煤企支持力度。做好煤炭、钢铁、电力等传统优势行业，积极提供短、中期流动资金贷款、中长期项目贷款等授信支持，全面服务山西经济建设，7月下旬支持焦煤集团子公司流动资金贷款</w:t>
      </w:r>
      <w:r>
        <w:t>1.5</w:t>
      </w:r>
      <w:r>
        <w:rPr>
          <w:rFonts w:hint="eastAsia"/>
        </w:rPr>
        <w:t>亿。</w:t>
      </w:r>
    </w:p>
    <w:p>
      <w:pPr>
        <w:spacing w:line="600" w:lineRule="exact"/>
        <w:ind w:firstLine="640"/>
      </w:pPr>
      <w:r>
        <w:rPr>
          <w:rFonts w:hint="eastAsia"/>
        </w:rPr>
        <w:t>四是落实服务小微企业政策，助力小微企业发展。优化收费标准，对小微企业及个体工商户用于经营用途的业务自2020年5月30日及以后来行申请提前还款时免收“提前还款违约金”。截至2021年6月末，2021年上半年累计减免经营性贷款的提前还款违约金共计715万元。</w:t>
      </w:r>
    </w:p>
    <w:p>
      <w:pPr>
        <w:spacing w:line="600" w:lineRule="exact"/>
        <w:ind w:firstLine="640"/>
        <w:rPr>
          <w:szCs w:val="32"/>
        </w:rPr>
      </w:pPr>
      <w:r>
        <w:rPr>
          <w:rFonts w:hint="eastAsia"/>
          <w:szCs w:val="32"/>
        </w:rPr>
        <w:t>截至7月末，平安银行已与99户客户公司开展业务合作，其中有效授信金额为919.7亿元，有效授信敞口为349.89亿元，债承额度为312亿元，投资额度为20亿元，间接授信26亿元，项下直接授信11.5亿元。</w:t>
      </w:r>
    </w:p>
    <w:p>
      <w:pPr>
        <w:pStyle w:val="5"/>
        <w:spacing w:before="0" w:after="0" w:line="600" w:lineRule="exact"/>
        <w:rPr>
          <w:sz w:val="32"/>
        </w:rPr>
      </w:pPr>
      <w:bookmarkStart w:id="7" w:name="_Toc78827650"/>
      <w:r>
        <w:rPr>
          <w:rFonts w:hint="eastAsia"/>
          <w:sz w:val="32"/>
        </w:rPr>
        <w:t>▲招商银行太原分行创新金融产品提升金融服务质效</w:t>
      </w:r>
      <w:bookmarkEnd w:id="7"/>
    </w:p>
    <w:p>
      <w:pPr>
        <w:spacing w:line="600" w:lineRule="exact"/>
        <w:ind w:firstLine="640"/>
      </w:pPr>
      <w:r>
        <w:rPr>
          <w:rFonts w:hint="eastAsia"/>
        </w:rPr>
        <w:t>一是融入国企改革生态体系，提供全方位综合金融服务。赋能国企国资改革新领域，举办“腾笼换鸟”、债券承销、资产证券化、市场交易等多个专项业务推介会，提供股权激励等全方位金融服务；聚焦金融科技输出，利用跨银行现金管理平台实现“管资本”，为省内10余户国企客户上线跨银行现金管理平台，累计管理国企成员单位1100余户。</w:t>
      </w:r>
    </w:p>
    <w:p>
      <w:pPr>
        <w:spacing w:line="600" w:lineRule="exact"/>
        <w:ind w:firstLine="640"/>
      </w:pPr>
      <w:r>
        <w:rPr>
          <w:rFonts w:hint="eastAsia"/>
        </w:rPr>
        <w:t>二是聚焦“六新”领域，助力产业转型升级。运用动态票据池、融资租赁、债券承销、联合保理、供应链金融等创新产品支持传统企业转型、新兴产业发展，为经济转型发展提供有效的金融服务支撑。建渠道搭平台，举办山西省发改委公募Reits交流培训共享信息资源。优化资源整合，积极加强产业转型升级、基础设施建设、融资发债等领域金融服务。</w:t>
      </w:r>
    </w:p>
    <w:p>
      <w:pPr>
        <w:spacing w:line="600" w:lineRule="exact"/>
        <w:ind w:firstLine="640"/>
        <w:rPr>
          <w:szCs w:val="32"/>
        </w:rPr>
      </w:pPr>
      <w:r>
        <w:rPr>
          <w:rFonts w:hint="eastAsia"/>
        </w:rPr>
        <w:t>三是充分发挥投商行一体化优势，激发市场主体活力。创新全流程金融服务，广泛提供云端私享卡、智慧党建、薪福通、闪电贷、公司债托管、中票、内保外债等综合服务。通过投商行一体化助力太原铁路局成功落地320亿元大秦铁路可转债收益</w:t>
      </w:r>
      <w:r>
        <w:rPr>
          <w:rFonts w:hint="eastAsia"/>
          <w:szCs w:val="32"/>
        </w:rPr>
        <w:t>权转让融资业务。为企业制定“前端过桥+后端投资”“理财自持+同业分销”的“四位一体”全流程解决方案。</w:t>
      </w:r>
    </w:p>
    <w:p>
      <w:pPr>
        <w:pStyle w:val="5"/>
        <w:spacing w:before="0" w:after="0" w:line="600" w:lineRule="exact"/>
        <w:rPr>
          <w:sz w:val="32"/>
        </w:rPr>
      </w:pPr>
      <w:bookmarkStart w:id="8" w:name="_Toc78827651"/>
      <w:r>
        <w:rPr>
          <w:rFonts w:hint="eastAsia"/>
          <w:sz w:val="32"/>
        </w:rPr>
        <w:t>▲华夏银行“商行+投行”金融服务加快融资项目落地</w:t>
      </w:r>
      <w:bookmarkEnd w:id="8"/>
    </w:p>
    <w:p>
      <w:pPr>
        <w:spacing w:line="600" w:lineRule="exact"/>
        <w:ind w:firstLine="640"/>
        <w:rPr>
          <w:szCs w:val="32"/>
        </w:rPr>
      </w:pPr>
      <w:r>
        <w:rPr>
          <w:rFonts w:hint="eastAsia"/>
          <w:szCs w:val="32"/>
        </w:rPr>
        <w:t>7月27日，华夏银行太原分行第一时间组织分行班子成员以及相关部门负责人召开贯彻落实的专题会议，传达会议精神，统一思想，坚定服务国资国企改革信心；专题研究支持山西国企改革重点融资项目，采取</w:t>
      </w:r>
      <w:r>
        <w:rPr>
          <w:rFonts w:hint="eastAsia"/>
        </w:rPr>
        <w:t>“商行+投行”金融服务</w:t>
      </w:r>
      <w:r>
        <w:rPr>
          <w:rFonts w:hint="eastAsia"/>
          <w:szCs w:val="32"/>
        </w:rPr>
        <w:t>加快融资项目落地。</w:t>
      </w:r>
    </w:p>
    <w:p>
      <w:pPr>
        <w:spacing w:line="600" w:lineRule="exact"/>
        <w:ind w:firstLine="640"/>
        <w:rPr>
          <w:rFonts w:ascii="仿宋" w:hAnsi="仿宋" w:eastAsia="仿宋"/>
          <w:szCs w:val="32"/>
        </w:rPr>
      </w:pPr>
      <w:r>
        <w:rPr>
          <w:rFonts w:hint="eastAsia"/>
          <w:szCs w:val="32"/>
        </w:rPr>
        <w:t>7月30日，提质增效的首单业务——晋能控股债权融资计划43.4亿元成功落地。本周新增投放贷款10亿元，分别为山西路桥建设集团7亿元，山西焦化股份3亿元。下一步将面向全省重点国资国企，进行复制推广，深化银企合作，创新金融服务国资国企改革新路径，实现银企共享改革发展成果。</w:t>
      </w:r>
    </w:p>
    <w:p>
      <w:pPr>
        <w:pStyle w:val="5"/>
        <w:spacing w:before="0" w:after="0" w:line="600" w:lineRule="exact"/>
        <w:rPr>
          <w:sz w:val="32"/>
        </w:rPr>
      </w:pPr>
      <w:bookmarkStart w:id="9" w:name="_Toc78827652"/>
      <w:r>
        <w:rPr>
          <w:rFonts w:hint="eastAsia"/>
          <w:sz w:val="32"/>
        </w:rPr>
        <w:t>▲</w:t>
      </w:r>
      <w:r>
        <w:rPr>
          <w:rFonts w:hint="eastAsia"/>
          <w:sz w:val="32"/>
          <w:lang w:eastAsia="zh-Hans"/>
        </w:rPr>
        <w:t>山西银行聚焦绿色金融和小微信贷推进精准滴灌</w:t>
      </w:r>
      <w:bookmarkEnd w:id="9"/>
    </w:p>
    <w:p>
      <w:pPr>
        <w:spacing w:line="600" w:lineRule="exact"/>
        <w:ind w:firstLine="640"/>
        <w:rPr>
          <w:szCs w:val="32"/>
          <w:lang w:eastAsia="zh-Hans"/>
        </w:rPr>
      </w:pPr>
      <w:r>
        <w:rPr>
          <w:rFonts w:hint="eastAsia"/>
          <w:szCs w:val="32"/>
        </w:rPr>
        <w:t>一是</w:t>
      </w:r>
      <w:r>
        <w:rPr>
          <w:rFonts w:hint="eastAsia"/>
          <w:szCs w:val="32"/>
          <w:lang w:eastAsia="zh-Hans"/>
        </w:rPr>
        <w:t>做强绿色金融，助力低碳发展。7月19日，邀请专业环境评价咨询公司，立足全省碳达峰碳中和以及产业转型进行分析研究，对全行绿色金融发展进行规划部署，积极对接华远国际陆港集团、晋能控股电力集团、晋能控股煤业等企业碳中和债券发行。</w:t>
      </w:r>
    </w:p>
    <w:p>
      <w:pPr>
        <w:spacing w:line="600" w:lineRule="exact"/>
        <w:ind w:firstLine="640"/>
        <w:rPr>
          <w:szCs w:val="32"/>
          <w:lang w:eastAsia="zh-Hans"/>
        </w:rPr>
      </w:pPr>
      <w:r>
        <w:rPr>
          <w:rFonts w:hint="eastAsia"/>
          <w:szCs w:val="32"/>
        </w:rPr>
        <w:t>二是</w:t>
      </w:r>
      <w:r>
        <w:rPr>
          <w:rFonts w:hint="eastAsia"/>
          <w:szCs w:val="32"/>
          <w:lang w:eastAsia="zh-Hans"/>
        </w:rPr>
        <w:t>利用支小再贷款精准滴灌小微企。7月23日，人民银行太原中心支行向山西银行发放首笔支小再贷款3.31亿元，这是山西银行成立以来首笔落地的支小再贷款业务。山西银行把支持小微企业成长壮大作为经营发展的重要战略，通过单列信贷计划，创新供应链、线上化等产品，打通小微企业融资渠道，降低小微企业融资成本，此次成功落地的3.31亿元支小贷款平均利率5.44%，较小微企业贷款平均利率低1.6个百分点，可为小微企业减免利息530万元。</w:t>
      </w:r>
    </w:p>
    <w:p>
      <w:pPr>
        <w:spacing w:line="600" w:lineRule="exact"/>
        <w:ind w:firstLine="640"/>
        <w:rPr>
          <w:szCs w:val="32"/>
        </w:rPr>
      </w:pPr>
      <w:r>
        <w:rPr>
          <w:rFonts w:hint="eastAsia"/>
          <w:szCs w:val="32"/>
          <w:lang w:eastAsia="zh-Hans"/>
        </w:rPr>
        <w:t>截至</w:t>
      </w:r>
      <w:r>
        <w:rPr>
          <w:szCs w:val="32"/>
          <w:lang w:eastAsia="zh-Hans"/>
        </w:rPr>
        <w:t>7</w:t>
      </w:r>
      <w:r>
        <w:rPr>
          <w:rFonts w:hint="eastAsia"/>
          <w:szCs w:val="32"/>
          <w:lang w:eastAsia="zh-Hans"/>
        </w:rPr>
        <w:t>月</w:t>
      </w:r>
      <w:r>
        <w:rPr>
          <w:rFonts w:hint="eastAsia"/>
          <w:szCs w:val="32"/>
        </w:rPr>
        <w:t>31</w:t>
      </w:r>
      <w:r>
        <w:rPr>
          <w:rFonts w:hint="eastAsia"/>
          <w:szCs w:val="32"/>
          <w:lang w:eastAsia="zh-Hans"/>
        </w:rPr>
        <w:t>日，山西银行资产总额</w:t>
      </w:r>
      <w:r>
        <w:rPr>
          <w:rFonts w:hint="eastAsia"/>
          <w:szCs w:val="32"/>
        </w:rPr>
        <w:t>2649</w:t>
      </w:r>
      <w:r>
        <w:rPr>
          <w:szCs w:val="32"/>
          <w:lang w:eastAsia="zh-Hans"/>
        </w:rPr>
        <w:t>.</w:t>
      </w:r>
      <w:r>
        <w:rPr>
          <w:rFonts w:hint="eastAsia"/>
          <w:szCs w:val="32"/>
        </w:rPr>
        <w:t>17</w:t>
      </w:r>
      <w:r>
        <w:rPr>
          <w:rFonts w:hint="eastAsia"/>
          <w:szCs w:val="32"/>
          <w:lang w:eastAsia="zh-Hans"/>
        </w:rPr>
        <w:t>亿元，其中各项贷款余额</w:t>
      </w:r>
      <w:r>
        <w:rPr>
          <w:rFonts w:hint="eastAsia"/>
          <w:szCs w:val="32"/>
        </w:rPr>
        <w:t>1422</w:t>
      </w:r>
      <w:r>
        <w:rPr>
          <w:szCs w:val="32"/>
          <w:lang w:eastAsia="zh-Hans"/>
        </w:rPr>
        <w:t>.</w:t>
      </w:r>
      <w:r>
        <w:rPr>
          <w:rFonts w:hint="eastAsia"/>
          <w:szCs w:val="32"/>
        </w:rPr>
        <w:t>1</w:t>
      </w:r>
      <w:r>
        <w:rPr>
          <w:szCs w:val="32"/>
          <w:lang w:eastAsia="zh-Hans"/>
        </w:rPr>
        <w:t>5</w:t>
      </w:r>
      <w:r>
        <w:rPr>
          <w:rFonts w:hint="eastAsia"/>
          <w:szCs w:val="32"/>
          <w:lang w:eastAsia="zh-Hans"/>
        </w:rPr>
        <w:t>亿元；负债总额</w:t>
      </w:r>
      <w:r>
        <w:rPr>
          <w:rFonts w:hint="eastAsia"/>
          <w:szCs w:val="32"/>
        </w:rPr>
        <w:t>2405</w:t>
      </w:r>
      <w:r>
        <w:rPr>
          <w:szCs w:val="32"/>
          <w:lang w:eastAsia="zh-Hans"/>
        </w:rPr>
        <w:t>.</w:t>
      </w:r>
      <w:r>
        <w:rPr>
          <w:rFonts w:hint="eastAsia"/>
          <w:szCs w:val="32"/>
        </w:rPr>
        <w:t>50</w:t>
      </w:r>
      <w:r>
        <w:rPr>
          <w:rFonts w:hint="eastAsia"/>
          <w:szCs w:val="32"/>
          <w:lang w:eastAsia="zh-Hans"/>
        </w:rPr>
        <w:t>亿元，其中各项存款</w:t>
      </w:r>
      <w:r>
        <w:rPr>
          <w:szCs w:val="32"/>
          <w:lang w:eastAsia="zh-Hans"/>
        </w:rPr>
        <w:t>196</w:t>
      </w:r>
      <w:r>
        <w:rPr>
          <w:rFonts w:hint="eastAsia"/>
          <w:szCs w:val="32"/>
        </w:rPr>
        <w:t>4</w:t>
      </w:r>
      <w:r>
        <w:rPr>
          <w:szCs w:val="32"/>
          <w:lang w:eastAsia="zh-Hans"/>
        </w:rPr>
        <w:t>.</w:t>
      </w:r>
      <w:r>
        <w:rPr>
          <w:rFonts w:hint="eastAsia"/>
          <w:szCs w:val="32"/>
        </w:rPr>
        <w:t>01</w:t>
      </w:r>
      <w:r>
        <w:rPr>
          <w:rFonts w:hint="eastAsia"/>
          <w:szCs w:val="32"/>
          <w:lang w:eastAsia="zh-Hans"/>
        </w:rPr>
        <w:t>亿元。</w:t>
      </w:r>
    </w:p>
    <w:p>
      <w:pPr>
        <w:pStyle w:val="4"/>
        <w:spacing w:before="0" w:after="0" w:line="600" w:lineRule="exact"/>
        <w:rPr>
          <w:sz w:val="32"/>
          <w:szCs w:val="32"/>
        </w:rPr>
      </w:pPr>
      <w:bookmarkStart w:id="10" w:name="_Toc78827653"/>
      <w:r>
        <w:rPr>
          <w:rFonts w:hint="eastAsia"/>
          <w:sz w:val="32"/>
          <w:szCs w:val="32"/>
        </w:rPr>
        <w:t>【保险业专栏】</w:t>
      </w:r>
      <w:bookmarkEnd w:id="10"/>
    </w:p>
    <w:p>
      <w:pPr>
        <w:pStyle w:val="5"/>
        <w:spacing w:before="0" w:after="0" w:line="600" w:lineRule="exact"/>
        <w:rPr>
          <w:sz w:val="32"/>
        </w:rPr>
      </w:pPr>
      <w:bookmarkStart w:id="11" w:name="_Toc78827654"/>
      <w:r>
        <w:rPr>
          <w:rFonts w:hint="eastAsia"/>
          <w:sz w:val="32"/>
        </w:rPr>
        <w:t>▲交银人寿山西省分公司践行为民初心，强化服务意识</w:t>
      </w:r>
      <w:bookmarkEnd w:id="11"/>
    </w:p>
    <w:p>
      <w:pPr>
        <w:spacing w:line="600" w:lineRule="exact"/>
        <w:ind w:firstLine="640"/>
        <w:rPr>
          <w:szCs w:val="32"/>
        </w:rPr>
      </w:pPr>
      <w:r>
        <w:rPr>
          <w:rFonts w:hint="eastAsia"/>
          <w:szCs w:val="32"/>
        </w:rPr>
        <w:t>聚焦履行社会责任，服务群众“有特色”。7月2日，交银人寿山西省分公司举办全国保险公众宣传日系列之“进社区”宣传活动，持续做好金融保险知识宣传教育，推动保险业形象持续改善。聚焦贯彻新发展理念，服务发展“有价值”。重点提高学生在校期间意外伤害保障，在一定程度上分散转移学校、政府因学生意外事件导致的公众风险，在经济上缓解当事家庭的损失。截止2021年7月18日，已向6452名在校学生赠送10万元意外伤害保险并全员激活。</w:t>
      </w:r>
    </w:p>
    <w:p>
      <w:pPr>
        <w:pStyle w:val="5"/>
        <w:spacing w:before="0" w:after="0" w:line="600" w:lineRule="exact"/>
        <w:rPr>
          <w:sz w:val="32"/>
        </w:rPr>
      </w:pPr>
      <w:bookmarkStart w:id="12" w:name="_Toc78827655"/>
      <w:r>
        <w:rPr>
          <w:rFonts w:hint="eastAsia"/>
          <w:sz w:val="32"/>
        </w:rPr>
        <w:t>▲泰康人寿山西分公司优化业务结构持续回归本源</w:t>
      </w:r>
      <w:bookmarkEnd w:id="12"/>
    </w:p>
    <w:p>
      <w:pPr>
        <w:spacing w:line="600" w:lineRule="exact"/>
        <w:ind w:firstLine="640"/>
        <w:rPr>
          <w:szCs w:val="32"/>
        </w:rPr>
      </w:pPr>
      <w:r>
        <w:rPr>
          <w:rFonts w:hint="eastAsia"/>
          <w:szCs w:val="32"/>
        </w:rPr>
        <w:t>泰康人寿山西分公司先后推出“泰康医生”APP、“泰生活”APP、“就医绿色通道服务”、“齿科服务”、“海外医疗绿色通道”、“健保通”、“信用赔”等一系列特色健康服务，不断提升客户体验。截止上半年，累计保费收入227281.55万元，去年同期保费收入为222275.12万元，同比增幅2.25%。截止上半年，个险系列累计完成新单保费20267.68万元，同比降幅9.44%；个险续期累计完成保费162016.67万元，同比增长2.44%；银保新单保费累计完成6488.95万元，同比增长45.14%；银保续期累计完成保费24665.34万元，同比增幅3.52%；电销业务累计完成保费11694.70万元，同比增幅11.99%；经代业务累计完成保费1252.94万元，同比降幅1.89%；团险累计完成保费545.20万元，同比降幅59.55%；网销业务完成保费350.08万元，同比降幅5.31%。</w:t>
      </w:r>
    </w:p>
    <w:p>
      <w:pPr>
        <w:pStyle w:val="5"/>
        <w:spacing w:before="0" w:after="0" w:line="600" w:lineRule="exact"/>
        <w:rPr>
          <w:sz w:val="32"/>
        </w:rPr>
      </w:pPr>
      <w:bookmarkStart w:id="13" w:name="_Toc78827656"/>
      <w:r>
        <w:rPr>
          <w:rFonts w:hint="eastAsia"/>
          <w:sz w:val="32"/>
        </w:rPr>
        <w:t>▲英大人寿山西分公司依托税优健康险强化增长</w:t>
      </w:r>
      <w:bookmarkEnd w:id="13"/>
    </w:p>
    <w:p>
      <w:pPr>
        <w:spacing w:line="600" w:lineRule="exact"/>
        <w:ind w:firstLine="640"/>
        <w:rPr>
          <w:szCs w:val="32"/>
        </w:rPr>
      </w:pPr>
      <w:r>
        <w:rPr>
          <w:rFonts w:hint="eastAsia"/>
          <w:szCs w:val="32"/>
        </w:rPr>
        <w:t>英大人寿山西分公司充分利用税优健康险新的效益增长点，以账户为主，高标保高效率，坚持资源精准投入、成本节约高效、经济效益为先，7月实现税优承保223.27万元。</w:t>
      </w:r>
    </w:p>
    <w:p>
      <w:pPr>
        <w:pStyle w:val="4"/>
        <w:spacing w:before="0" w:after="0" w:line="600" w:lineRule="exact"/>
        <w:rPr>
          <w:sz w:val="32"/>
          <w:szCs w:val="32"/>
        </w:rPr>
      </w:pPr>
      <w:bookmarkStart w:id="14" w:name="_Toc78827657"/>
      <w:r>
        <w:rPr>
          <w:rFonts w:hint="eastAsia"/>
          <w:sz w:val="32"/>
          <w:szCs w:val="32"/>
        </w:rPr>
        <w:t>【证券业专栏】</w:t>
      </w:r>
      <w:bookmarkEnd w:id="14"/>
    </w:p>
    <w:p>
      <w:pPr>
        <w:pStyle w:val="5"/>
        <w:spacing w:before="0" w:after="0" w:line="600" w:lineRule="exact"/>
        <w:rPr>
          <w:sz w:val="32"/>
        </w:rPr>
      </w:pPr>
      <w:bookmarkStart w:id="15" w:name="_Toc78827658"/>
      <w:r>
        <w:rPr>
          <w:rFonts w:hint="eastAsia"/>
          <w:sz w:val="32"/>
        </w:rPr>
        <w:t>▲</w:t>
      </w:r>
      <w:r>
        <w:rPr>
          <w:sz w:val="32"/>
        </w:rPr>
        <w:t>申万宏源证券山西分公司</w:t>
      </w:r>
      <w:r>
        <w:rPr>
          <w:rFonts w:hint="eastAsia"/>
          <w:sz w:val="32"/>
        </w:rPr>
        <w:t>建立投行目标客户“数据地图”</w:t>
      </w:r>
      <w:bookmarkEnd w:id="15"/>
    </w:p>
    <w:p>
      <w:pPr>
        <w:spacing w:line="600" w:lineRule="exact"/>
        <w:ind w:firstLine="640"/>
        <w:rPr>
          <w:szCs w:val="32"/>
        </w:rPr>
      </w:pPr>
      <w:r>
        <w:rPr>
          <w:szCs w:val="32"/>
        </w:rPr>
        <w:t>申万宏源证券</w:t>
      </w:r>
      <w:r>
        <w:rPr>
          <w:rFonts w:hint="eastAsia"/>
          <w:szCs w:val="32"/>
        </w:rPr>
        <w:t>山西分公司组建投行业务协同工作组，目标客户包括省内所有上市公司、拟上市公司、发债公司、新三板挂牌公司等，加强投行工作的信息交流和协同。一是</w:t>
      </w:r>
      <w:r>
        <w:rPr>
          <w:szCs w:val="32"/>
        </w:rPr>
        <w:t>重点服务山西汾酒</w:t>
      </w:r>
      <w:r>
        <w:rPr>
          <w:rFonts w:hint="eastAsia"/>
          <w:szCs w:val="32"/>
        </w:rPr>
        <w:t>、</w:t>
      </w:r>
      <w:r>
        <w:rPr>
          <w:szCs w:val="32"/>
        </w:rPr>
        <w:t>太原重工</w:t>
      </w:r>
      <w:r>
        <w:rPr>
          <w:rFonts w:hint="eastAsia"/>
          <w:szCs w:val="32"/>
        </w:rPr>
        <w:t>、</w:t>
      </w:r>
      <w:r>
        <w:rPr>
          <w:szCs w:val="32"/>
        </w:rPr>
        <w:t>太钢不锈等上市公司</w:t>
      </w:r>
      <w:r>
        <w:rPr>
          <w:rFonts w:hint="eastAsia"/>
          <w:szCs w:val="32"/>
        </w:rPr>
        <w:t>，为其</w:t>
      </w:r>
      <w:r>
        <w:rPr>
          <w:szCs w:val="32"/>
        </w:rPr>
        <w:t>提供综合金融服务</w:t>
      </w:r>
      <w:r>
        <w:rPr>
          <w:rFonts w:hint="eastAsia"/>
          <w:szCs w:val="32"/>
        </w:rPr>
        <w:t>；持续服务晋控电力、大地控股、万家寨水务等省属国有企业，使其继续发挥行业引领示范作用；拓宽太原国投、晋中公投、临汾城投、运城城投等企业融资渠道，为各市发展保驾护航。二是进一步扩大为民营企业服务的范围，除为聚海龙、百得科技、交控生态、九加一等新三板挂牌公司持续提供服务外，积极与各大园区企业进行会谈，发掘优质企业，使其以更开放的姿态与各类资本实现共赢发展。三是发挥券商在推进企业上市过程中的“智力支持”作用，加大优质企业培育辅导力度，积极为已列入上市重点企业库、上市后备企业库的企业客户提供资本市场服务支持，助力山西优质企业进军资本市场。</w:t>
      </w:r>
    </w:p>
    <w:p>
      <w:pPr>
        <w:pStyle w:val="5"/>
        <w:spacing w:before="0" w:after="0" w:line="600" w:lineRule="exact"/>
        <w:rPr>
          <w:sz w:val="32"/>
        </w:rPr>
      </w:pPr>
      <w:bookmarkStart w:id="16" w:name="_Toc78827659"/>
      <w:r>
        <w:rPr>
          <w:rFonts w:hint="eastAsia"/>
          <w:sz w:val="32"/>
        </w:rPr>
        <w:t>▲</w:t>
      </w:r>
      <w:r>
        <w:rPr>
          <w:sz w:val="32"/>
        </w:rPr>
        <w:pict>
          <v:shape id="Text Box 2" o:spid="_x0000_s1028" o:spt="202" type="#_x0000_t202" style="position:absolute;left:0pt;margin-left:425.3pt;margin-top:29.3pt;height:11.55pt;width:6.7pt;z-index:251660288;mso-width-relative:page;mso-height-relative:page;" filled="f" stroked="f" coordsize="21600,21600">
            <v:path/>
            <v:fill on="f" focussize="0,0"/>
            <v:stroke on="f" joinstyle="miter"/>
            <v:imagedata o:title=""/>
            <o:lock v:ext="edit"/>
            <v:textbox>
              <w:txbxContent>
                <w:p>
                  <w:pPr>
                    <w:ind w:firstLine="640"/>
                    <w:rPr>
                      <w:szCs w:val="28"/>
                    </w:rPr>
                  </w:pPr>
                </w:p>
              </w:txbxContent>
            </v:textbox>
          </v:shape>
        </w:pict>
      </w:r>
      <w:r>
        <w:rPr>
          <w:rFonts w:hint="eastAsia"/>
          <w:sz w:val="32"/>
        </w:rPr>
        <w:t>西南证券山西分公司为文旅集团非公开发行债券8亿元</w:t>
      </w:r>
      <w:bookmarkEnd w:id="16"/>
    </w:p>
    <w:p>
      <w:pPr>
        <w:spacing w:line="600" w:lineRule="exact"/>
        <w:ind w:firstLine="640"/>
        <w:rPr>
          <w:szCs w:val="32"/>
        </w:rPr>
      </w:pPr>
      <w:r>
        <w:rPr>
          <w:rFonts w:hint="eastAsia"/>
          <w:szCs w:val="32"/>
        </w:rPr>
        <w:t>2021年3月，担任主承销商和簿记管理人为山西文旅集团非公开发行2021年公司债券第一期，发行规模4亿元，票面利率4.6%，期限3年。2021年6月，担任主承销商和簿记管理人为山西文旅集团非公开发行2021年公司债券第二期，发行规模4亿元，票面利率4.4%，期限3年。</w:t>
      </w:r>
    </w:p>
    <w:p>
      <w:pPr>
        <w:pStyle w:val="2"/>
        <w:spacing w:after="0" w:line="600" w:lineRule="exact"/>
        <w:ind w:left="640" w:firstLine="640"/>
        <w:rPr>
          <w:szCs w:val="32"/>
        </w:rPr>
      </w:pPr>
    </w:p>
    <w:p>
      <w:pPr>
        <w:pStyle w:val="2"/>
        <w:spacing w:after="0" w:line="600" w:lineRule="exact"/>
        <w:ind w:left="640" w:firstLine="640"/>
        <w:rPr>
          <w:szCs w:val="32"/>
        </w:rPr>
      </w:pPr>
    </w:p>
    <w:p>
      <w:pPr>
        <w:pStyle w:val="2"/>
        <w:spacing w:after="0" w:line="600" w:lineRule="exact"/>
        <w:ind w:left="640" w:firstLine="640"/>
        <w:rPr>
          <w:szCs w:val="32"/>
        </w:rPr>
      </w:pPr>
    </w:p>
    <w:p>
      <w:pPr>
        <w:pStyle w:val="2"/>
        <w:spacing w:after="0" w:line="600" w:lineRule="exact"/>
        <w:ind w:left="640" w:firstLine="640"/>
      </w:pPr>
    </w:p>
    <w:p>
      <w:pPr>
        <w:pStyle w:val="2"/>
        <w:spacing w:after="0" w:line="600" w:lineRule="exact"/>
        <w:ind w:left="640" w:firstLine="640"/>
      </w:pPr>
    </w:p>
    <w:p>
      <w:pPr>
        <w:pStyle w:val="2"/>
        <w:spacing w:after="0" w:line="600" w:lineRule="exact"/>
        <w:ind w:left="640" w:firstLine="640"/>
      </w:pPr>
    </w:p>
    <w:p>
      <w:pPr>
        <w:pStyle w:val="2"/>
        <w:spacing w:after="0" w:line="600" w:lineRule="exact"/>
        <w:ind w:left="640" w:firstLine="640"/>
      </w:pPr>
    </w:p>
    <w:p>
      <w:pPr>
        <w:pStyle w:val="2"/>
        <w:spacing w:after="0" w:line="600" w:lineRule="exact"/>
        <w:ind w:left="640" w:firstLine="640"/>
      </w:pPr>
    </w:p>
    <w:p>
      <w:pPr>
        <w:pStyle w:val="2"/>
        <w:spacing w:after="0" w:line="600" w:lineRule="exact"/>
        <w:ind w:left="640" w:firstLine="640"/>
      </w:pPr>
    </w:p>
    <w:p>
      <w:pPr>
        <w:pStyle w:val="2"/>
        <w:spacing w:after="0" w:line="600" w:lineRule="exact"/>
        <w:ind w:left="640" w:firstLine="640"/>
      </w:pPr>
    </w:p>
    <w:p>
      <w:pPr>
        <w:pStyle w:val="2"/>
        <w:spacing w:after="0" w:line="600" w:lineRule="exact"/>
        <w:ind w:left="640" w:firstLine="640"/>
      </w:pPr>
    </w:p>
    <w:p>
      <w:pPr>
        <w:pStyle w:val="2"/>
        <w:spacing w:after="0" w:line="600" w:lineRule="exact"/>
        <w:ind w:left="640" w:firstLine="640"/>
      </w:pPr>
    </w:p>
    <w:p>
      <w:pPr>
        <w:pStyle w:val="2"/>
        <w:spacing w:after="0" w:line="600" w:lineRule="exact"/>
        <w:ind w:left="640" w:firstLine="640"/>
      </w:pPr>
    </w:p>
    <w:p>
      <w:pPr>
        <w:pStyle w:val="2"/>
        <w:spacing w:after="0" w:line="600" w:lineRule="exact"/>
        <w:ind w:left="640" w:firstLine="640"/>
      </w:pPr>
    </w:p>
    <w:p>
      <w:pPr>
        <w:pStyle w:val="2"/>
        <w:spacing w:after="0" w:line="600" w:lineRule="exact"/>
        <w:ind w:left="640" w:firstLine="640"/>
      </w:pPr>
    </w:p>
    <w:p>
      <w:pPr>
        <w:pStyle w:val="2"/>
        <w:spacing w:after="0" w:line="600" w:lineRule="exact"/>
        <w:ind w:left="640" w:firstLine="640"/>
      </w:pPr>
    </w:p>
    <w:p>
      <w:pPr>
        <w:pStyle w:val="2"/>
        <w:spacing w:after="0" w:line="600" w:lineRule="exact"/>
        <w:ind w:left="640" w:firstLine="640"/>
      </w:pPr>
    </w:p>
    <w:p>
      <w:pPr>
        <w:pStyle w:val="2"/>
        <w:spacing w:after="0" w:line="600" w:lineRule="exact"/>
        <w:ind w:left="640" w:firstLine="640"/>
      </w:pPr>
    </w:p>
    <w:p>
      <w:pPr>
        <w:pStyle w:val="2"/>
        <w:spacing w:after="0" w:line="600" w:lineRule="exact"/>
        <w:ind w:left="640" w:firstLine="640"/>
      </w:pPr>
    </w:p>
    <w:p>
      <w:pPr>
        <w:pStyle w:val="2"/>
        <w:spacing w:after="0" w:line="600" w:lineRule="exact"/>
        <w:ind w:left="640" w:firstLine="640"/>
      </w:pPr>
    </w:p>
    <w:p>
      <w:pPr>
        <w:pStyle w:val="2"/>
        <w:spacing w:after="0" w:line="600" w:lineRule="exact"/>
        <w:ind w:left="640" w:firstLine="640"/>
      </w:pPr>
    </w:p>
    <w:p>
      <w:pPr>
        <w:pStyle w:val="2"/>
        <w:spacing w:after="0" w:line="600" w:lineRule="exact"/>
        <w:ind w:left="640" w:firstLine="640"/>
      </w:pPr>
    </w:p>
    <w:p>
      <w:pPr>
        <w:pStyle w:val="2"/>
        <w:spacing w:after="0" w:line="600" w:lineRule="exact"/>
        <w:ind w:left="640" w:firstLine="640"/>
      </w:pPr>
    </w:p>
    <w:p>
      <w:pPr>
        <w:pStyle w:val="2"/>
        <w:spacing w:after="0" w:line="600" w:lineRule="exact"/>
        <w:ind w:left="640" w:firstLine="640"/>
      </w:pPr>
    </w:p>
    <w:p>
      <w:pPr>
        <w:pStyle w:val="2"/>
        <w:spacing w:after="0" w:line="600" w:lineRule="exact"/>
        <w:ind w:left="640" w:firstLine="640"/>
      </w:pPr>
    </w:p>
    <w:p>
      <w:pPr>
        <w:pStyle w:val="2"/>
        <w:spacing w:after="0" w:line="600" w:lineRule="exact"/>
        <w:ind w:left="640" w:firstLine="640"/>
      </w:pPr>
    </w:p>
    <w:p>
      <w:pPr>
        <w:pStyle w:val="2"/>
        <w:spacing w:after="0" w:line="600" w:lineRule="exact"/>
        <w:ind w:left="640" w:firstLine="640"/>
      </w:pPr>
    </w:p>
    <w:p>
      <w:pPr>
        <w:pStyle w:val="2"/>
        <w:spacing w:after="0" w:line="600" w:lineRule="exact"/>
        <w:ind w:left="640" w:firstLine="640"/>
      </w:pPr>
    </w:p>
    <w:p>
      <w:pPr>
        <w:pStyle w:val="2"/>
        <w:spacing w:after="0" w:line="600" w:lineRule="exact"/>
        <w:ind w:left="640" w:firstLine="640"/>
      </w:pPr>
    </w:p>
    <w:p>
      <w:pPr>
        <w:pStyle w:val="2"/>
        <w:ind w:left="640" w:firstLine="640"/>
      </w:pPr>
    </w:p>
    <w:tbl>
      <w:tblPr>
        <w:tblStyle w:val="16"/>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8522" w:type="dxa"/>
            <w:vAlign w:val="center"/>
          </w:tcPr>
          <w:p>
            <w:pPr>
              <w:snapToGrid w:val="0"/>
              <w:ind w:left="480" w:hanging="480" w:hangingChars="200"/>
              <w:rPr>
                <w:rFonts w:ascii="仿宋_GB2312" w:hAnsi="仿宋_GB2312" w:cs="仿宋_GB2312"/>
                <w:sz w:val="24"/>
                <w:szCs w:val="32"/>
              </w:rPr>
            </w:pPr>
            <w:r>
              <w:rPr>
                <w:rFonts w:hint="eastAsia" w:ascii="仿宋_GB2312" w:hAnsi="仿宋_GB2312" w:cs="仿宋_GB2312"/>
                <w:sz w:val="24"/>
                <w:szCs w:val="32"/>
              </w:rPr>
              <w:t>报：省领导</w:t>
            </w:r>
          </w:p>
          <w:p>
            <w:pPr>
              <w:snapToGrid w:val="0"/>
              <w:ind w:left="480" w:hanging="480" w:hangingChars="200"/>
              <w:rPr>
                <w:rFonts w:ascii="仿宋_GB2312" w:hAnsi="仿宋_GB2312" w:cs="仿宋_GB2312"/>
                <w:sz w:val="24"/>
                <w:szCs w:val="32"/>
              </w:rPr>
            </w:pPr>
            <w:r>
              <w:rPr>
                <w:rFonts w:hint="eastAsia" w:ascii="仿宋_GB2312" w:hAnsi="仿宋_GB2312" w:cs="仿宋_GB2312"/>
                <w:sz w:val="24"/>
                <w:szCs w:val="32"/>
              </w:rPr>
              <w:t>送：有关厅局</w:t>
            </w:r>
            <w:r>
              <w:rPr>
                <w:rFonts w:hint="eastAsia" w:ascii="仿宋_GB2312" w:hAnsi="仿宋_GB2312" w:cs="仿宋_GB2312"/>
                <w:sz w:val="24"/>
                <w:szCs w:val="32"/>
                <w:lang w:eastAsia="zh-CN"/>
              </w:rPr>
              <w:t>、省发改委、省委政研室、省政府研究室、</w:t>
            </w:r>
            <w:r>
              <w:rPr>
                <w:rFonts w:hint="eastAsia" w:ascii="仿宋_GB2312" w:hAnsi="仿宋_GB2312" w:cs="仿宋_GB2312"/>
                <w:sz w:val="24"/>
                <w:szCs w:val="32"/>
              </w:rPr>
              <w:t>中央驻晋金融监管部门</w:t>
            </w:r>
          </w:p>
          <w:p>
            <w:pPr>
              <w:snapToGrid w:val="0"/>
              <w:ind w:left="480" w:hanging="480" w:hangingChars="200"/>
              <w:rPr>
                <w:rFonts w:ascii="仿宋_GB2312" w:hAnsi="仿宋_GB2312" w:cs="仿宋_GB2312"/>
                <w:sz w:val="24"/>
                <w:szCs w:val="32"/>
              </w:rPr>
            </w:pPr>
            <w:r>
              <w:rPr>
                <w:rFonts w:hint="eastAsia" w:ascii="仿宋_GB2312" w:hAnsi="仿宋_GB2312" w:cs="仿宋_GB2312"/>
                <w:sz w:val="24"/>
                <w:szCs w:val="32"/>
              </w:rPr>
              <w:t>发：各市金融办、各金融机构。</w:t>
            </w:r>
          </w:p>
        </w:tc>
      </w:tr>
    </w:tbl>
    <w:p>
      <w:pPr>
        <w:ind w:firstLine="480"/>
        <w:rPr>
          <w:rFonts w:ascii="仿宋_GB2312" w:hAnsi="仿宋_GB2312" w:cs="仿宋_GB2312"/>
          <w:szCs w:val="32"/>
        </w:rPr>
      </w:pPr>
      <w:r>
        <w:rPr>
          <w:rFonts w:hint="eastAsia" w:ascii="仿宋_GB2312" w:hAnsi="仿宋_GB2312" w:cs="仿宋_GB2312"/>
          <w:sz w:val="24"/>
          <w:szCs w:val="32"/>
        </w:rPr>
        <w:t>〔电话：6819623〕</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0"/>
      <w:cols w:space="720" w:num="1"/>
      <w:titlePg/>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PingFangSC-Regular">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r>
      <w:pict>
        <v:shape id="文本框 2" o:spid="_x0000_s3073" o:spt="202" type="#_x0000_t202" style="position:absolute;left:0pt;margin-top:0pt;height:144pt;width:144pt;mso-position-horizontal:center;mso-position-horizontal-relative:margin;mso-wrap-style:none;z-index:251659264;mso-width-relative:page;mso-height-relative:page;" filled="f" o:preferrelative="t" stroked="f" coordsize="21600,21600">
          <v:path/>
          <v:fill on="f" focussize="0,0"/>
          <v:stroke on="f" joinstyle="miter"/>
          <v:imagedata o:title=""/>
          <o:lock v:ext="edit"/>
          <v:textbox inset="0mm,0mm,0mm,0mm" style="mso-fit-shape-to-text:t;">
            <w:txbxContent>
              <w:p>
                <w:pPr>
                  <w:pStyle w:val="7"/>
                  <w:ind w:firstLine="480"/>
                  <w:jc w:val="center"/>
                  <w:rPr>
                    <w:rFonts w:cs="Times New Roman"/>
                    <w:sz w:val="24"/>
                    <w:szCs w:val="24"/>
                  </w:rPr>
                </w:pPr>
                <w:r>
                  <w:rPr>
                    <w:rFonts w:cs="Times New Roman"/>
                    <w:sz w:val="24"/>
                    <w:szCs w:val="24"/>
                  </w:rPr>
                  <w:fldChar w:fldCharType="begin"/>
                </w:r>
                <w:r>
                  <w:rPr>
                    <w:rFonts w:cs="Times New Roman"/>
                    <w:sz w:val="24"/>
                    <w:szCs w:val="24"/>
                  </w:rPr>
                  <w:instrText xml:space="preserve">PAGE   \* MERGEFORMAT</w:instrText>
                </w:r>
                <w:r>
                  <w:rPr>
                    <w:rFonts w:cs="Times New Roman"/>
                    <w:sz w:val="24"/>
                    <w:szCs w:val="24"/>
                  </w:rPr>
                  <w:fldChar w:fldCharType="separate"/>
                </w:r>
                <w:r>
                  <w:t>3</w:t>
                </w:r>
                <w:r>
                  <w:rPr>
                    <w:rFonts w:cs="Times New Roman"/>
                    <w:sz w:val="24"/>
                    <w:szCs w:val="24"/>
                  </w:rPr>
                  <w:fldChar w:fldCharType="end"/>
                </w:r>
              </w:p>
            </w:txbxContent>
          </v:textbox>
        </v:shape>
      </w:pict>
    </w:r>
  </w:p>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left" w:pos="4795"/>
        <w:tab w:val="clear" w:pos="8306"/>
      </w:tabs>
      <w:ind w:firstLine="360"/>
      <w:jc w:val="left"/>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bordersDoNotSurroundHeader w:val="1"/>
  <w:bordersDoNotSurroundFooter w:val="1"/>
  <w:documentProtection w:enforcement="0"/>
  <w:defaultTabStop w:val="420"/>
  <w:drawingGridHorizontalSpacing w:val="160"/>
  <w:drawingGridVerticalSpacing w:val="435"/>
  <w:displayHorizontalDrawingGridEvery w:val="2"/>
  <w:noPunctuationKerning w:val="1"/>
  <w:characterSpacingControl w:val="compressPunctuation"/>
  <w:hdrShapeDefaults>
    <o:shapelayout v:ext="edit">
      <o:idmap v:ext="edit" data="2,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DD4CEA"/>
    <w:rsid w:val="00012AC9"/>
    <w:rsid w:val="00013AF1"/>
    <w:rsid w:val="00020924"/>
    <w:rsid w:val="00021BFA"/>
    <w:rsid w:val="00032FE2"/>
    <w:rsid w:val="000355FE"/>
    <w:rsid w:val="00041A93"/>
    <w:rsid w:val="00046F10"/>
    <w:rsid w:val="00050614"/>
    <w:rsid w:val="000540EA"/>
    <w:rsid w:val="0005763F"/>
    <w:rsid w:val="0007636A"/>
    <w:rsid w:val="00083E4D"/>
    <w:rsid w:val="0008465B"/>
    <w:rsid w:val="00084DBF"/>
    <w:rsid w:val="000A01FD"/>
    <w:rsid w:val="000A340B"/>
    <w:rsid w:val="000A4A45"/>
    <w:rsid w:val="000A4F3A"/>
    <w:rsid w:val="000B0437"/>
    <w:rsid w:val="000B3498"/>
    <w:rsid w:val="000B6585"/>
    <w:rsid w:val="000C5F78"/>
    <w:rsid w:val="000C762E"/>
    <w:rsid w:val="000D045D"/>
    <w:rsid w:val="000D5744"/>
    <w:rsid w:val="000D6BE7"/>
    <w:rsid w:val="000E2C4F"/>
    <w:rsid w:val="000E71B7"/>
    <w:rsid w:val="000F2AC5"/>
    <w:rsid w:val="000F4A0D"/>
    <w:rsid w:val="000F4C0C"/>
    <w:rsid w:val="001042E1"/>
    <w:rsid w:val="00104C25"/>
    <w:rsid w:val="00104E3E"/>
    <w:rsid w:val="00106D32"/>
    <w:rsid w:val="001105C3"/>
    <w:rsid w:val="00113CAE"/>
    <w:rsid w:val="00115E17"/>
    <w:rsid w:val="00116702"/>
    <w:rsid w:val="001244D7"/>
    <w:rsid w:val="00126941"/>
    <w:rsid w:val="001310CB"/>
    <w:rsid w:val="00132FAB"/>
    <w:rsid w:val="00137675"/>
    <w:rsid w:val="00140041"/>
    <w:rsid w:val="00142180"/>
    <w:rsid w:val="00151491"/>
    <w:rsid w:val="00152008"/>
    <w:rsid w:val="0015306F"/>
    <w:rsid w:val="0015480A"/>
    <w:rsid w:val="00160C53"/>
    <w:rsid w:val="00162D81"/>
    <w:rsid w:val="00164330"/>
    <w:rsid w:val="001648E5"/>
    <w:rsid w:val="0017767F"/>
    <w:rsid w:val="00177B31"/>
    <w:rsid w:val="0018245F"/>
    <w:rsid w:val="001A3DD7"/>
    <w:rsid w:val="001B077C"/>
    <w:rsid w:val="001B0E6F"/>
    <w:rsid w:val="001B4AE7"/>
    <w:rsid w:val="001C657E"/>
    <w:rsid w:val="001C6643"/>
    <w:rsid w:val="001E1151"/>
    <w:rsid w:val="001E2637"/>
    <w:rsid w:val="001F3970"/>
    <w:rsid w:val="002053F7"/>
    <w:rsid w:val="00205E31"/>
    <w:rsid w:val="00206E35"/>
    <w:rsid w:val="002073BD"/>
    <w:rsid w:val="00212A4C"/>
    <w:rsid w:val="0022087B"/>
    <w:rsid w:val="00223C05"/>
    <w:rsid w:val="0022715F"/>
    <w:rsid w:val="00227244"/>
    <w:rsid w:val="00250505"/>
    <w:rsid w:val="00251623"/>
    <w:rsid w:val="0025217C"/>
    <w:rsid w:val="0025595F"/>
    <w:rsid w:val="00255F31"/>
    <w:rsid w:val="00262786"/>
    <w:rsid w:val="00265027"/>
    <w:rsid w:val="0026751A"/>
    <w:rsid w:val="002711CE"/>
    <w:rsid w:val="00274C9F"/>
    <w:rsid w:val="0027796B"/>
    <w:rsid w:val="00291FA5"/>
    <w:rsid w:val="002A51A7"/>
    <w:rsid w:val="002A5B63"/>
    <w:rsid w:val="002A6770"/>
    <w:rsid w:val="002C0D50"/>
    <w:rsid w:val="002C1E5F"/>
    <w:rsid w:val="002C4568"/>
    <w:rsid w:val="002D09E2"/>
    <w:rsid w:val="002D342E"/>
    <w:rsid w:val="002D4DF4"/>
    <w:rsid w:val="002F4FA3"/>
    <w:rsid w:val="002F60E0"/>
    <w:rsid w:val="002F61E1"/>
    <w:rsid w:val="00301978"/>
    <w:rsid w:val="003110CD"/>
    <w:rsid w:val="003126AF"/>
    <w:rsid w:val="00313691"/>
    <w:rsid w:val="00315B94"/>
    <w:rsid w:val="00323D00"/>
    <w:rsid w:val="003257B7"/>
    <w:rsid w:val="003302C9"/>
    <w:rsid w:val="00330C8C"/>
    <w:rsid w:val="00331399"/>
    <w:rsid w:val="003421FC"/>
    <w:rsid w:val="00347B8E"/>
    <w:rsid w:val="003524CE"/>
    <w:rsid w:val="00376CE5"/>
    <w:rsid w:val="00377426"/>
    <w:rsid w:val="00377A44"/>
    <w:rsid w:val="00380D33"/>
    <w:rsid w:val="00384251"/>
    <w:rsid w:val="00387E17"/>
    <w:rsid w:val="00390864"/>
    <w:rsid w:val="0039290F"/>
    <w:rsid w:val="00392A0F"/>
    <w:rsid w:val="003939A2"/>
    <w:rsid w:val="003946B1"/>
    <w:rsid w:val="0039738C"/>
    <w:rsid w:val="003A5BE8"/>
    <w:rsid w:val="003B4CB3"/>
    <w:rsid w:val="003B5309"/>
    <w:rsid w:val="003B6BB9"/>
    <w:rsid w:val="003C0EBC"/>
    <w:rsid w:val="003D4D6F"/>
    <w:rsid w:val="003D66B8"/>
    <w:rsid w:val="003D787E"/>
    <w:rsid w:val="003E34ED"/>
    <w:rsid w:val="003E4279"/>
    <w:rsid w:val="003E6C66"/>
    <w:rsid w:val="003F5C7E"/>
    <w:rsid w:val="00401735"/>
    <w:rsid w:val="00410D91"/>
    <w:rsid w:val="00411A9E"/>
    <w:rsid w:val="00411C33"/>
    <w:rsid w:val="00412608"/>
    <w:rsid w:val="00412830"/>
    <w:rsid w:val="00414BFE"/>
    <w:rsid w:val="0042625D"/>
    <w:rsid w:val="004270B7"/>
    <w:rsid w:val="00430AAC"/>
    <w:rsid w:val="0044036A"/>
    <w:rsid w:val="00441D3A"/>
    <w:rsid w:val="00443BDA"/>
    <w:rsid w:val="00444BCB"/>
    <w:rsid w:val="00445EDE"/>
    <w:rsid w:val="004478A2"/>
    <w:rsid w:val="00452E2C"/>
    <w:rsid w:val="00461AA9"/>
    <w:rsid w:val="00463AFB"/>
    <w:rsid w:val="00463B49"/>
    <w:rsid w:val="004643F2"/>
    <w:rsid w:val="00466897"/>
    <w:rsid w:val="00472D32"/>
    <w:rsid w:val="00476809"/>
    <w:rsid w:val="0048771B"/>
    <w:rsid w:val="00487785"/>
    <w:rsid w:val="00487B06"/>
    <w:rsid w:val="004973BA"/>
    <w:rsid w:val="004A2EB9"/>
    <w:rsid w:val="004B0D32"/>
    <w:rsid w:val="004B6AD1"/>
    <w:rsid w:val="004C1F00"/>
    <w:rsid w:val="004C23E8"/>
    <w:rsid w:val="004C6003"/>
    <w:rsid w:val="004C6F32"/>
    <w:rsid w:val="004C7602"/>
    <w:rsid w:val="004C7E81"/>
    <w:rsid w:val="004D2D53"/>
    <w:rsid w:val="004E0FD0"/>
    <w:rsid w:val="004E2AFD"/>
    <w:rsid w:val="004E2E42"/>
    <w:rsid w:val="004F4B9B"/>
    <w:rsid w:val="004F58A4"/>
    <w:rsid w:val="004F67D6"/>
    <w:rsid w:val="004F7898"/>
    <w:rsid w:val="005011DB"/>
    <w:rsid w:val="00505CF2"/>
    <w:rsid w:val="00531C84"/>
    <w:rsid w:val="005339D0"/>
    <w:rsid w:val="00542169"/>
    <w:rsid w:val="00542405"/>
    <w:rsid w:val="005429AD"/>
    <w:rsid w:val="00553678"/>
    <w:rsid w:val="005573C6"/>
    <w:rsid w:val="00560382"/>
    <w:rsid w:val="00560581"/>
    <w:rsid w:val="00570A74"/>
    <w:rsid w:val="0057161F"/>
    <w:rsid w:val="005723F2"/>
    <w:rsid w:val="0058490A"/>
    <w:rsid w:val="0059207D"/>
    <w:rsid w:val="00594078"/>
    <w:rsid w:val="00594DE6"/>
    <w:rsid w:val="00595F84"/>
    <w:rsid w:val="005961AF"/>
    <w:rsid w:val="005A181C"/>
    <w:rsid w:val="005A4011"/>
    <w:rsid w:val="005B40D0"/>
    <w:rsid w:val="005B5E7B"/>
    <w:rsid w:val="005B6EC3"/>
    <w:rsid w:val="005B7C9E"/>
    <w:rsid w:val="005C3549"/>
    <w:rsid w:val="005C6997"/>
    <w:rsid w:val="005C6CA8"/>
    <w:rsid w:val="005C7C9B"/>
    <w:rsid w:val="005C7FF7"/>
    <w:rsid w:val="005D61F8"/>
    <w:rsid w:val="005D694E"/>
    <w:rsid w:val="005E6504"/>
    <w:rsid w:val="005E747A"/>
    <w:rsid w:val="0060078A"/>
    <w:rsid w:val="00601151"/>
    <w:rsid w:val="00601731"/>
    <w:rsid w:val="00603E25"/>
    <w:rsid w:val="00603FB7"/>
    <w:rsid w:val="00607282"/>
    <w:rsid w:val="00607A6F"/>
    <w:rsid w:val="00614B5E"/>
    <w:rsid w:val="00614CB0"/>
    <w:rsid w:val="00622BC3"/>
    <w:rsid w:val="00626847"/>
    <w:rsid w:val="00633CAF"/>
    <w:rsid w:val="006409C2"/>
    <w:rsid w:val="00643EA2"/>
    <w:rsid w:val="0065069D"/>
    <w:rsid w:val="006547B6"/>
    <w:rsid w:val="00661035"/>
    <w:rsid w:val="00661808"/>
    <w:rsid w:val="006664B9"/>
    <w:rsid w:val="00667469"/>
    <w:rsid w:val="006726D2"/>
    <w:rsid w:val="006759FE"/>
    <w:rsid w:val="00676CE9"/>
    <w:rsid w:val="00683BE2"/>
    <w:rsid w:val="00683E88"/>
    <w:rsid w:val="00685D33"/>
    <w:rsid w:val="00686EF7"/>
    <w:rsid w:val="006911B1"/>
    <w:rsid w:val="0069169B"/>
    <w:rsid w:val="006A2DB2"/>
    <w:rsid w:val="006B3662"/>
    <w:rsid w:val="006B4CE3"/>
    <w:rsid w:val="006B7CD8"/>
    <w:rsid w:val="006C14BA"/>
    <w:rsid w:val="006C16D7"/>
    <w:rsid w:val="006C5E68"/>
    <w:rsid w:val="006D005F"/>
    <w:rsid w:val="006D20DB"/>
    <w:rsid w:val="006D40AB"/>
    <w:rsid w:val="006D7AB0"/>
    <w:rsid w:val="006E0035"/>
    <w:rsid w:val="006E2DEA"/>
    <w:rsid w:val="006E7982"/>
    <w:rsid w:val="006F49EF"/>
    <w:rsid w:val="006F61ED"/>
    <w:rsid w:val="00704E45"/>
    <w:rsid w:val="00707960"/>
    <w:rsid w:val="0071057D"/>
    <w:rsid w:val="00713187"/>
    <w:rsid w:val="00713209"/>
    <w:rsid w:val="00717A6B"/>
    <w:rsid w:val="00723E55"/>
    <w:rsid w:val="007241C7"/>
    <w:rsid w:val="00727268"/>
    <w:rsid w:val="0072750C"/>
    <w:rsid w:val="007316FE"/>
    <w:rsid w:val="00733C6E"/>
    <w:rsid w:val="00752CFB"/>
    <w:rsid w:val="00753898"/>
    <w:rsid w:val="00753DC9"/>
    <w:rsid w:val="007548BF"/>
    <w:rsid w:val="00755477"/>
    <w:rsid w:val="007616E3"/>
    <w:rsid w:val="0076729E"/>
    <w:rsid w:val="00767B60"/>
    <w:rsid w:val="007702F6"/>
    <w:rsid w:val="00772C58"/>
    <w:rsid w:val="00773F9B"/>
    <w:rsid w:val="00776349"/>
    <w:rsid w:val="00777A35"/>
    <w:rsid w:val="00780F89"/>
    <w:rsid w:val="00784FBA"/>
    <w:rsid w:val="00790E34"/>
    <w:rsid w:val="007A12A5"/>
    <w:rsid w:val="007B2382"/>
    <w:rsid w:val="007B25F5"/>
    <w:rsid w:val="007B2868"/>
    <w:rsid w:val="007B792C"/>
    <w:rsid w:val="007C03D3"/>
    <w:rsid w:val="007C24B2"/>
    <w:rsid w:val="007C67DE"/>
    <w:rsid w:val="007D38A3"/>
    <w:rsid w:val="007E6F74"/>
    <w:rsid w:val="007E7362"/>
    <w:rsid w:val="007F0A29"/>
    <w:rsid w:val="007F241C"/>
    <w:rsid w:val="00830655"/>
    <w:rsid w:val="00834686"/>
    <w:rsid w:val="008434F0"/>
    <w:rsid w:val="00843730"/>
    <w:rsid w:val="008450EA"/>
    <w:rsid w:val="00847A4D"/>
    <w:rsid w:val="00847FED"/>
    <w:rsid w:val="00853C4A"/>
    <w:rsid w:val="00866188"/>
    <w:rsid w:val="00877406"/>
    <w:rsid w:val="00877A29"/>
    <w:rsid w:val="00880D8A"/>
    <w:rsid w:val="00880FED"/>
    <w:rsid w:val="0088143E"/>
    <w:rsid w:val="0089542E"/>
    <w:rsid w:val="0089553B"/>
    <w:rsid w:val="008959EB"/>
    <w:rsid w:val="008A17A5"/>
    <w:rsid w:val="008A4B98"/>
    <w:rsid w:val="008A6112"/>
    <w:rsid w:val="008A7C8B"/>
    <w:rsid w:val="008B0928"/>
    <w:rsid w:val="008B4EFD"/>
    <w:rsid w:val="008B53C8"/>
    <w:rsid w:val="008B6EE6"/>
    <w:rsid w:val="008D161D"/>
    <w:rsid w:val="008D2FF2"/>
    <w:rsid w:val="008E37A0"/>
    <w:rsid w:val="008E7A80"/>
    <w:rsid w:val="008F185B"/>
    <w:rsid w:val="008F1F62"/>
    <w:rsid w:val="00912866"/>
    <w:rsid w:val="0092315B"/>
    <w:rsid w:val="00923CCA"/>
    <w:rsid w:val="00923D01"/>
    <w:rsid w:val="0092572B"/>
    <w:rsid w:val="00930129"/>
    <w:rsid w:val="00933880"/>
    <w:rsid w:val="0093533E"/>
    <w:rsid w:val="009364FB"/>
    <w:rsid w:val="00940BC2"/>
    <w:rsid w:val="00943284"/>
    <w:rsid w:val="00944A15"/>
    <w:rsid w:val="00946A79"/>
    <w:rsid w:val="009559D8"/>
    <w:rsid w:val="00957F42"/>
    <w:rsid w:val="00962DBA"/>
    <w:rsid w:val="009725B6"/>
    <w:rsid w:val="009734B6"/>
    <w:rsid w:val="00973B91"/>
    <w:rsid w:val="00980394"/>
    <w:rsid w:val="009819DF"/>
    <w:rsid w:val="00985769"/>
    <w:rsid w:val="00986F0B"/>
    <w:rsid w:val="00990BD9"/>
    <w:rsid w:val="009966CB"/>
    <w:rsid w:val="009A4743"/>
    <w:rsid w:val="009B096D"/>
    <w:rsid w:val="009B3B0D"/>
    <w:rsid w:val="009C067E"/>
    <w:rsid w:val="009C272A"/>
    <w:rsid w:val="009C6138"/>
    <w:rsid w:val="009D1A3B"/>
    <w:rsid w:val="009D4ABE"/>
    <w:rsid w:val="009D6891"/>
    <w:rsid w:val="009D7B24"/>
    <w:rsid w:val="009E39C6"/>
    <w:rsid w:val="009E70F7"/>
    <w:rsid w:val="009F274F"/>
    <w:rsid w:val="009F7104"/>
    <w:rsid w:val="00A004CC"/>
    <w:rsid w:val="00A0566C"/>
    <w:rsid w:val="00A07F39"/>
    <w:rsid w:val="00A14F64"/>
    <w:rsid w:val="00A17B11"/>
    <w:rsid w:val="00A24572"/>
    <w:rsid w:val="00A33619"/>
    <w:rsid w:val="00A3705F"/>
    <w:rsid w:val="00A42050"/>
    <w:rsid w:val="00A42AA8"/>
    <w:rsid w:val="00A46694"/>
    <w:rsid w:val="00A54C07"/>
    <w:rsid w:val="00A56B7D"/>
    <w:rsid w:val="00A60547"/>
    <w:rsid w:val="00A64A49"/>
    <w:rsid w:val="00A66AE7"/>
    <w:rsid w:val="00A73B8A"/>
    <w:rsid w:val="00A7536D"/>
    <w:rsid w:val="00A75E02"/>
    <w:rsid w:val="00A80D84"/>
    <w:rsid w:val="00A91FB4"/>
    <w:rsid w:val="00A92E85"/>
    <w:rsid w:val="00AA1934"/>
    <w:rsid w:val="00AA1A61"/>
    <w:rsid w:val="00AA76CB"/>
    <w:rsid w:val="00AB4127"/>
    <w:rsid w:val="00AB42CE"/>
    <w:rsid w:val="00AB7C21"/>
    <w:rsid w:val="00AC0B05"/>
    <w:rsid w:val="00AC38EE"/>
    <w:rsid w:val="00AC3DD1"/>
    <w:rsid w:val="00AC4E15"/>
    <w:rsid w:val="00AC788B"/>
    <w:rsid w:val="00AD4394"/>
    <w:rsid w:val="00AD7F88"/>
    <w:rsid w:val="00AE1C60"/>
    <w:rsid w:val="00AE3693"/>
    <w:rsid w:val="00AE51BE"/>
    <w:rsid w:val="00AE6162"/>
    <w:rsid w:val="00AF2BD7"/>
    <w:rsid w:val="00B01BF0"/>
    <w:rsid w:val="00B13ABE"/>
    <w:rsid w:val="00B13E38"/>
    <w:rsid w:val="00B142ED"/>
    <w:rsid w:val="00B21401"/>
    <w:rsid w:val="00B30C23"/>
    <w:rsid w:val="00B3472C"/>
    <w:rsid w:val="00B42E63"/>
    <w:rsid w:val="00B46ED2"/>
    <w:rsid w:val="00B47566"/>
    <w:rsid w:val="00B5262E"/>
    <w:rsid w:val="00B62182"/>
    <w:rsid w:val="00B63763"/>
    <w:rsid w:val="00B72B5E"/>
    <w:rsid w:val="00B73685"/>
    <w:rsid w:val="00B74A13"/>
    <w:rsid w:val="00B754EE"/>
    <w:rsid w:val="00B7580B"/>
    <w:rsid w:val="00BA0FA2"/>
    <w:rsid w:val="00BA37BB"/>
    <w:rsid w:val="00BA444F"/>
    <w:rsid w:val="00BB2053"/>
    <w:rsid w:val="00BB5165"/>
    <w:rsid w:val="00BB572E"/>
    <w:rsid w:val="00BB7323"/>
    <w:rsid w:val="00BC053D"/>
    <w:rsid w:val="00BD0C98"/>
    <w:rsid w:val="00BD3697"/>
    <w:rsid w:val="00BD3C09"/>
    <w:rsid w:val="00BD6B87"/>
    <w:rsid w:val="00BE495B"/>
    <w:rsid w:val="00BF1C43"/>
    <w:rsid w:val="00BF7541"/>
    <w:rsid w:val="00BF767D"/>
    <w:rsid w:val="00C00764"/>
    <w:rsid w:val="00C02835"/>
    <w:rsid w:val="00C06F70"/>
    <w:rsid w:val="00C13EC4"/>
    <w:rsid w:val="00C14AF5"/>
    <w:rsid w:val="00C174B0"/>
    <w:rsid w:val="00C20831"/>
    <w:rsid w:val="00C20FF2"/>
    <w:rsid w:val="00C351EB"/>
    <w:rsid w:val="00C40208"/>
    <w:rsid w:val="00C40676"/>
    <w:rsid w:val="00C60BA3"/>
    <w:rsid w:val="00C65CDC"/>
    <w:rsid w:val="00C77209"/>
    <w:rsid w:val="00C80EED"/>
    <w:rsid w:val="00C820AA"/>
    <w:rsid w:val="00C82D6A"/>
    <w:rsid w:val="00C831FF"/>
    <w:rsid w:val="00C84FDC"/>
    <w:rsid w:val="00C905B6"/>
    <w:rsid w:val="00C923D4"/>
    <w:rsid w:val="00C92E97"/>
    <w:rsid w:val="00CA4234"/>
    <w:rsid w:val="00CA4E63"/>
    <w:rsid w:val="00CB1390"/>
    <w:rsid w:val="00CB19A9"/>
    <w:rsid w:val="00CB218D"/>
    <w:rsid w:val="00CD0371"/>
    <w:rsid w:val="00CD069F"/>
    <w:rsid w:val="00CD46D8"/>
    <w:rsid w:val="00CE2124"/>
    <w:rsid w:val="00CE2BC0"/>
    <w:rsid w:val="00CE47B0"/>
    <w:rsid w:val="00CF4977"/>
    <w:rsid w:val="00D00536"/>
    <w:rsid w:val="00D01314"/>
    <w:rsid w:val="00D079F7"/>
    <w:rsid w:val="00D13D3A"/>
    <w:rsid w:val="00D23C4F"/>
    <w:rsid w:val="00D24978"/>
    <w:rsid w:val="00D351A3"/>
    <w:rsid w:val="00D37A5C"/>
    <w:rsid w:val="00D4645B"/>
    <w:rsid w:val="00D51032"/>
    <w:rsid w:val="00D52DC8"/>
    <w:rsid w:val="00D677DA"/>
    <w:rsid w:val="00D72222"/>
    <w:rsid w:val="00D74435"/>
    <w:rsid w:val="00D8304D"/>
    <w:rsid w:val="00D86051"/>
    <w:rsid w:val="00D87222"/>
    <w:rsid w:val="00D928C8"/>
    <w:rsid w:val="00D9608E"/>
    <w:rsid w:val="00D963BE"/>
    <w:rsid w:val="00DA1911"/>
    <w:rsid w:val="00DA7935"/>
    <w:rsid w:val="00DB0561"/>
    <w:rsid w:val="00DB1141"/>
    <w:rsid w:val="00DB1B38"/>
    <w:rsid w:val="00DB74BE"/>
    <w:rsid w:val="00DB7557"/>
    <w:rsid w:val="00DB7EAA"/>
    <w:rsid w:val="00DC11CC"/>
    <w:rsid w:val="00DC4AFC"/>
    <w:rsid w:val="00DC6B21"/>
    <w:rsid w:val="00DC7644"/>
    <w:rsid w:val="00DC7A49"/>
    <w:rsid w:val="00DD202B"/>
    <w:rsid w:val="00DD4CEA"/>
    <w:rsid w:val="00DD4EA3"/>
    <w:rsid w:val="00DE64C6"/>
    <w:rsid w:val="00DF3A2E"/>
    <w:rsid w:val="00DF45A7"/>
    <w:rsid w:val="00E1063C"/>
    <w:rsid w:val="00E16080"/>
    <w:rsid w:val="00E23646"/>
    <w:rsid w:val="00E2663C"/>
    <w:rsid w:val="00E26754"/>
    <w:rsid w:val="00E33F6C"/>
    <w:rsid w:val="00E43FDE"/>
    <w:rsid w:val="00E44413"/>
    <w:rsid w:val="00E44627"/>
    <w:rsid w:val="00E46297"/>
    <w:rsid w:val="00E50FE1"/>
    <w:rsid w:val="00E547AE"/>
    <w:rsid w:val="00E6078C"/>
    <w:rsid w:val="00E6329B"/>
    <w:rsid w:val="00E6647D"/>
    <w:rsid w:val="00E7048E"/>
    <w:rsid w:val="00E742FF"/>
    <w:rsid w:val="00E7451E"/>
    <w:rsid w:val="00E75FC1"/>
    <w:rsid w:val="00E777E9"/>
    <w:rsid w:val="00E90433"/>
    <w:rsid w:val="00E915BF"/>
    <w:rsid w:val="00E925F2"/>
    <w:rsid w:val="00E94AB6"/>
    <w:rsid w:val="00E95C4D"/>
    <w:rsid w:val="00EA169F"/>
    <w:rsid w:val="00EB0AB4"/>
    <w:rsid w:val="00EB4388"/>
    <w:rsid w:val="00EC3EF7"/>
    <w:rsid w:val="00EC57B3"/>
    <w:rsid w:val="00ED4588"/>
    <w:rsid w:val="00ED7677"/>
    <w:rsid w:val="00EF0797"/>
    <w:rsid w:val="00F018AE"/>
    <w:rsid w:val="00F04FEE"/>
    <w:rsid w:val="00F11275"/>
    <w:rsid w:val="00F153CB"/>
    <w:rsid w:val="00F16D55"/>
    <w:rsid w:val="00F20662"/>
    <w:rsid w:val="00F34BBF"/>
    <w:rsid w:val="00F40E7C"/>
    <w:rsid w:val="00F55D0D"/>
    <w:rsid w:val="00F63851"/>
    <w:rsid w:val="00F6450E"/>
    <w:rsid w:val="00F67D61"/>
    <w:rsid w:val="00F81F19"/>
    <w:rsid w:val="00F86771"/>
    <w:rsid w:val="00F87120"/>
    <w:rsid w:val="00F876D8"/>
    <w:rsid w:val="00F91517"/>
    <w:rsid w:val="00F91C15"/>
    <w:rsid w:val="00F95C85"/>
    <w:rsid w:val="00FB33BB"/>
    <w:rsid w:val="00FB6E00"/>
    <w:rsid w:val="00FC46DB"/>
    <w:rsid w:val="00FC5259"/>
    <w:rsid w:val="00FC7458"/>
    <w:rsid w:val="00FC7CA4"/>
    <w:rsid w:val="00FD0AC4"/>
    <w:rsid w:val="00FD6A0E"/>
    <w:rsid w:val="00FD7EDA"/>
    <w:rsid w:val="00FE0CB7"/>
    <w:rsid w:val="00FE5005"/>
    <w:rsid w:val="00FE5F05"/>
    <w:rsid w:val="00FE74BB"/>
    <w:rsid w:val="00FE7F8A"/>
    <w:rsid w:val="00FF2389"/>
    <w:rsid w:val="00FF4D11"/>
    <w:rsid w:val="018E309C"/>
    <w:rsid w:val="01EA7F33"/>
    <w:rsid w:val="01FE3350"/>
    <w:rsid w:val="03C031D6"/>
    <w:rsid w:val="04824374"/>
    <w:rsid w:val="05172669"/>
    <w:rsid w:val="05233EFD"/>
    <w:rsid w:val="065345EF"/>
    <w:rsid w:val="065D2980"/>
    <w:rsid w:val="06C275B6"/>
    <w:rsid w:val="07506A90"/>
    <w:rsid w:val="082C3E75"/>
    <w:rsid w:val="08F42F75"/>
    <w:rsid w:val="09207C05"/>
    <w:rsid w:val="0A0B0E87"/>
    <w:rsid w:val="0AAF7417"/>
    <w:rsid w:val="0C4A71B8"/>
    <w:rsid w:val="0C9D33BF"/>
    <w:rsid w:val="0CA230CA"/>
    <w:rsid w:val="0E1D4B35"/>
    <w:rsid w:val="0E6B26B6"/>
    <w:rsid w:val="0E8D3EEF"/>
    <w:rsid w:val="0EAB569D"/>
    <w:rsid w:val="0F950E9E"/>
    <w:rsid w:val="10293910"/>
    <w:rsid w:val="10453240"/>
    <w:rsid w:val="118D6A5B"/>
    <w:rsid w:val="12627D38"/>
    <w:rsid w:val="128C30FA"/>
    <w:rsid w:val="12B3094C"/>
    <w:rsid w:val="14794EA4"/>
    <w:rsid w:val="14B51486"/>
    <w:rsid w:val="162716E7"/>
    <w:rsid w:val="16287169"/>
    <w:rsid w:val="16B67CD2"/>
    <w:rsid w:val="17AD27E8"/>
    <w:rsid w:val="17D313A3"/>
    <w:rsid w:val="17EC7D4E"/>
    <w:rsid w:val="184E0CEC"/>
    <w:rsid w:val="185041F0"/>
    <w:rsid w:val="188A30D0"/>
    <w:rsid w:val="188C1E56"/>
    <w:rsid w:val="19F63627"/>
    <w:rsid w:val="1A3E3A1B"/>
    <w:rsid w:val="1C307A4E"/>
    <w:rsid w:val="1CC57F42"/>
    <w:rsid w:val="1D1125BF"/>
    <w:rsid w:val="1E913D35"/>
    <w:rsid w:val="1EE14DB9"/>
    <w:rsid w:val="1FA834FD"/>
    <w:rsid w:val="1FE1495C"/>
    <w:rsid w:val="20387569"/>
    <w:rsid w:val="206800B8"/>
    <w:rsid w:val="20C813D6"/>
    <w:rsid w:val="2173186F"/>
    <w:rsid w:val="22166AFA"/>
    <w:rsid w:val="22734C95"/>
    <w:rsid w:val="2320282F"/>
    <w:rsid w:val="23AC2413"/>
    <w:rsid w:val="2445130D"/>
    <w:rsid w:val="24756922"/>
    <w:rsid w:val="24EF17A6"/>
    <w:rsid w:val="27027F0C"/>
    <w:rsid w:val="27CB6C36"/>
    <w:rsid w:val="281D3908"/>
    <w:rsid w:val="2AB770A3"/>
    <w:rsid w:val="2AEA2D75"/>
    <w:rsid w:val="2AFD1D96"/>
    <w:rsid w:val="2B494413"/>
    <w:rsid w:val="2C852B16"/>
    <w:rsid w:val="2CA5304B"/>
    <w:rsid w:val="2CCE420F"/>
    <w:rsid w:val="2D437A51"/>
    <w:rsid w:val="2D726F1C"/>
    <w:rsid w:val="2DFA177E"/>
    <w:rsid w:val="31476967"/>
    <w:rsid w:val="32381773"/>
    <w:rsid w:val="326E63CA"/>
    <w:rsid w:val="326F76CF"/>
    <w:rsid w:val="32D75DF9"/>
    <w:rsid w:val="32F82AAB"/>
    <w:rsid w:val="337E5D9F"/>
    <w:rsid w:val="33FF10DF"/>
    <w:rsid w:val="349415D2"/>
    <w:rsid w:val="34D46B38"/>
    <w:rsid w:val="35CA286C"/>
    <w:rsid w:val="36173CCD"/>
    <w:rsid w:val="3673648F"/>
    <w:rsid w:val="369A2C21"/>
    <w:rsid w:val="36DF4453"/>
    <w:rsid w:val="3712078F"/>
    <w:rsid w:val="376D427E"/>
    <w:rsid w:val="37C3720B"/>
    <w:rsid w:val="37FB6F30"/>
    <w:rsid w:val="39260C1B"/>
    <w:rsid w:val="39B31F3A"/>
    <w:rsid w:val="39E5018A"/>
    <w:rsid w:val="3B605478"/>
    <w:rsid w:val="3C1771A5"/>
    <w:rsid w:val="3C2E3547"/>
    <w:rsid w:val="3C941FF2"/>
    <w:rsid w:val="3E721583"/>
    <w:rsid w:val="3EF75F59"/>
    <w:rsid w:val="3F3D66CD"/>
    <w:rsid w:val="41A832C4"/>
    <w:rsid w:val="42325EB7"/>
    <w:rsid w:val="42693382"/>
    <w:rsid w:val="42706590"/>
    <w:rsid w:val="42CD2850"/>
    <w:rsid w:val="42FF12F7"/>
    <w:rsid w:val="43143015"/>
    <w:rsid w:val="43561127"/>
    <w:rsid w:val="43981875"/>
    <w:rsid w:val="44024E7E"/>
    <w:rsid w:val="47243FC5"/>
    <w:rsid w:val="48854E86"/>
    <w:rsid w:val="4983062C"/>
    <w:rsid w:val="4A1A079F"/>
    <w:rsid w:val="4B1D7208"/>
    <w:rsid w:val="4B917087"/>
    <w:rsid w:val="4BF161A7"/>
    <w:rsid w:val="4D2729A1"/>
    <w:rsid w:val="4D4E60E3"/>
    <w:rsid w:val="4E2D1E36"/>
    <w:rsid w:val="4EA474BA"/>
    <w:rsid w:val="5185454F"/>
    <w:rsid w:val="52597DAA"/>
    <w:rsid w:val="54440BD0"/>
    <w:rsid w:val="544D14DF"/>
    <w:rsid w:val="55826059"/>
    <w:rsid w:val="558A5663"/>
    <w:rsid w:val="55B15523"/>
    <w:rsid w:val="567120DE"/>
    <w:rsid w:val="571E12FD"/>
    <w:rsid w:val="57F6575D"/>
    <w:rsid w:val="58EF7ABE"/>
    <w:rsid w:val="5999038C"/>
    <w:rsid w:val="59B957CC"/>
    <w:rsid w:val="59D52016"/>
    <w:rsid w:val="5A301B84"/>
    <w:rsid w:val="5A5F26D4"/>
    <w:rsid w:val="5A85128E"/>
    <w:rsid w:val="5ADF64A5"/>
    <w:rsid w:val="5B3845B5"/>
    <w:rsid w:val="5B6B6089"/>
    <w:rsid w:val="5BFB20F5"/>
    <w:rsid w:val="5C867ADA"/>
    <w:rsid w:val="5E122AE4"/>
    <w:rsid w:val="5EDB7FAF"/>
    <w:rsid w:val="624337C3"/>
    <w:rsid w:val="63785DBF"/>
    <w:rsid w:val="644B199A"/>
    <w:rsid w:val="645F2403"/>
    <w:rsid w:val="6463123F"/>
    <w:rsid w:val="64677C45"/>
    <w:rsid w:val="64875F7C"/>
    <w:rsid w:val="66601085"/>
    <w:rsid w:val="66613283"/>
    <w:rsid w:val="6665550D"/>
    <w:rsid w:val="675A129D"/>
    <w:rsid w:val="67697339"/>
    <w:rsid w:val="684B1EAA"/>
    <w:rsid w:val="685C4343"/>
    <w:rsid w:val="68AB7510"/>
    <w:rsid w:val="68BC0EE4"/>
    <w:rsid w:val="68E42FA2"/>
    <w:rsid w:val="6A1C4324"/>
    <w:rsid w:val="6A6C75A6"/>
    <w:rsid w:val="6BBA2ACB"/>
    <w:rsid w:val="6BF236D4"/>
    <w:rsid w:val="6C61675C"/>
    <w:rsid w:val="6D7F6F34"/>
    <w:rsid w:val="6DBE449A"/>
    <w:rsid w:val="6E5F07A0"/>
    <w:rsid w:val="6E696B31"/>
    <w:rsid w:val="6EB959B7"/>
    <w:rsid w:val="6EDB13EF"/>
    <w:rsid w:val="6F873A86"/>
    <w:rsid w:val="70550C5B"/>
    <w:rsid w:val="70FD48EC"/>
    <w:rsid w:val="71504376"/>
    <w:rsid w:val="71874850"/>
    <w:rsid w:val="72123E87"/>
    <w:rsid w:val="723C5278"/>
    <w:rsid w:val="7265643D"/>
    <w:rsid w:val="72AA58AC"/>
    <w:rsid w:val="72FB43B2"/>
    <w:rsid w:val="73050544"/>
    <w:rsid w:val="730779BE"/>
    <w:rsid w:val="732B70FF"/>
    <w:rsid w:val="75D06459"/>
    <w:rsid w:val="76255B63"/>
    <w:rsid w:val="76422F15"/>
    <w:rsid w:val="77470CB8"/>
    <w:rsid w:val="777B0693"/>
    <w:rsid w:val="77E83245"/>
    <w:rsid w:val="78582600"/>
    <w:rsid w:val="788159C2"/>
    <w:rsid w:val="78CF7CC0"/>
    <w:rsid w:val="78FB568C"/>
    <w:rsid w:val="79395171"/>
    <w:rsid w:val="79DC79DA"/>
    <w:rsid w:val="7A0138B5"/>
    <w:rsid w:val="7AC426F9"/>
    <w:rsid w:val="7B3B3A1C"/>
    <w:rsid w:val="7B453F4C"/>
    <w:rsid w:val="7B551FE8"/>
    <w:rsid w:val="7B625A7B"/>
    <w:rsid w:val="7BD947C0"/>
    <w:rsid w:val="7C1742A4"/>
    <w:rsid w:val="7C3C31DF"/>
    <w:rsid w:val="7C8F51E8"/>
    <w:rsid w:val="7D85227D"/>
    <w:rsid w:val="7DA1632A"/>
    <w:rsid w:val="7DB91452"/>
    <w:rsid w:val="7E1F6BF8"/>
    <w:rsid w:val="7E772B0A"/>
    <w:rsid w:val="7F035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semiHidden="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nhideWhenUsed="0" w:uiPriority="0" w:semiHidden="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qFormat="1"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qFormat="1" w:uiPriority="0" w:semiHidden="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964" w:firstLineChars="200"/>
      <w:jc w:val="both"/>
    </w:pPr>
    <w:rPr>
      <w:rFonts w:ascii="Times New Roman" w:hAnsi="Times New Roman" w:eastAsia="仿宋_GB2312" w:cs="黑体"/>
      <w:kern w:val="2"/>
      <w:sz w:val="32"/>
      <w:szCs w:val="22"/>
      <w:lang w:val="en-US" w:eastAsia="zh-CN" w:bidi="ar-SA"/>
    </w:rPr>
  </w:style>
  <w:style w:type="paragraph" w:styleId="4">
    <w:name w:val="heading 1"/>
    <w:basedOn w:val="1"/>
    <w:next w:val="1"/>
    <w:link w:val="27"/>
    <w:qFormat/>
    <w:uiPriority w:val="9"/>
    <w:pPr>
      <w:keepNext/>
      <w:keepLines/>
      <w:spacing w:before="340" w:after="330" w:line="579" w:lineRule="auto"/>
      <w:ind w:firstLine="0" w:firstLineChars="0"/>
      <w:outlineLvl w:val="0"/>
    </w:pPr>
    <w:rPr>
      <w:rFonts w:eastAsia="宋体"/>
      <w:b/>
      <w:bCs/>
      <w:kern w:val="44"/>
      <w:sz w:val="44"/>
      <w:szCs w:val="44"/>
    </w:rPr>
  </w:style>
  <w:style w:type="paragraph" w:styleId="5">
    <w:name w:val="heading 2"/>
    <w:basedOn w:val="1"/>
    <w:next w:val="1"/>
    <w:link w:val="33"/>
    <w:unhideWhenUsed/>
    <w:qFormat/>
    <w:uiPriority w:val="9"/>
    <w:pPr>
      <w:keepNext/>
      <w:keepLines/>
      <w:spacing w:before="260" w:after="260" w:line="416" w:lineRule="auto"/>
      <w:ind w:firstLine="0" w:firstLineChars="0"/>
      <w:outlineLvl w:val="1"/>
    </w:pPr>
    <w:rPr>
      <w:rFonts w:eastAsia="楷体_GB2312" w:asciiTheme="majorAscii" w:hAnsiTheme="majorAscii" w:cstheme="majorBidi"/>
      <w:bCs/>
      <w:sz w:val="36"/>
      <w:szCs w:val="32"/>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link w:val="30"/>
    <w:unhideWhenUsed/>
    <w:qFormat/>
    <w:uiPriority w:val="0"/>
    <w:pPr>
      <w:ind w:firstLine="420"/>
    </w:pPr>
    <w:rPr>
      <w:rFonts w:cs="Times New Roman"/>
    </w:rPr>
  </w:style>
  <w:style w:type="paragraph" w:styleId="3">
    <w:name w:val="Body Text Indent"/>
    <w:basedOn w:val="1"/>
    <w:link w:val="29"/>
    <w:semiHidden/>
    <w:unhideWhenUsed/>
    <w:qFormat/>
    <w:uiPriority w:val="0"/>
    <w:pPr>
      <w:spacing w:after="120"/>
      <w:ind w:left="420" w:leftChars="200"/>
    </w:pPr>
  </w:style>
  <w:style w:type="paragraph" w:styleId="6">
    <w:name w:val="Balloon Text"/>
    <w:basedOn w:val="1"/>
    <w:link w:val="24"/>
    <w:unhideWhenUsed/>
    <w:qFormat/>
    <w:uiPriority w:val="99"/>
    <w:rPr>
      <w:sz w:val="18"/>
      <w:szCs w:val="18"/>
    </w:rPr>
  </w:style>
  <w:style w:type="paragraph" w:styleId="7">
    <w:name w:val="footer"/>
    <w:basedOn w:val="1"/>
    <w:link w:val="23"/>
    <w:unhideWhenUsed/>
    <w:qFormat/>
    <w:uiPriority w:val="99"/>
    <w:pPr>
      <w:tabs>
        <w:tab w:val="center" w:pos="4153"/>
        <w:tab w:val="right" w:pos="8306"/>
      </w:tabs>
      <w:snapToGrid w:val="0"/>
      <w:jc w:val="left"/>
    </w:pPr>
    <w:rPr>
      <w:sz w:val="18"/>
      <w:szCs w:val="18"/>
    </w:rPr>
  </w:style>
  <w:style w:type="paragraph" w:styleId="8">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footnote text"/>
    <w:basedOn w:val="1"/>
    <w:link w:val="32"/>
    <w:qFormat/>
    <w:uiPriority w:val="0"/>
    <w:pPr>
      <w:snapToGrid w:val="0"/>
      <w:jc w:val="left"/>
    </w:pPr>
    <w:rPr>
      <w:rFonts w:asciiTheme="minorHAnsi" w:hAnsiTheme="minorHAnsi" w:eastAsiaTheme="minorEastAsia" w:cstheme="minorBidi"/>
      <w:sz w:val="18"/>
    </w:rPr>
  </w:style>
  <w:style w:type="paragraph" w:styleId="11">
    <w:name w:val="toc 2"/>
    <w:basedOn w:val="1"/>
    <w:next w:val="1"/>
    <w:unhideWhenUsed/>
    <w:qFormat/>
    <w:uiPriority w:val="39"/>
    <w:pPr>
      <w:tabs>
        <w:tab w:val="right" w:leader="dot" w:pos="8296"/>
      </w:tabs>
      <w:snapToGrid w:val="0"/>
      <w:spacing w:line="480" w:lineRule="exact"/>
      <w:ind w:left="420" w:leftChars="200"/>
    </w:pPr>
  </w:style>
  <w:style w:type="paragraph" w:styleId="12">
    <w:name w:val="Body Text 2"/>
    <w:basedOn w:val="1"/>
    <w:link w:val="25"/>
    <w:qFormat/>
    <w:uiPriority w:val="0"/>
    <w:pPr>
      <w:widowControl/>
      <w:spacing w:line="440" w:lineRule="atLeast"/>
    </w:pPr>
    <w:rPr>
      <w:rFonts w:cs="Times New Roman"/>
      <w:color w:val="000000"/>
      <w:kern w:val="0"/>
      <w:sz w:val="30"/>
      <w:szCs w:val="20"/>
      <w:u w:color="000000"/>
    </w:rPr>
  </w:style>
  <w:style w:type="paragraph" w:styleId="13">
    <w:name w:val="Normal (Web)"/>
    <w:basedOn w:val="1"/>
    <w:semiHidden/>
    <w:unhideWhenUsed/>
    <w:qFormat/>
    <w:uiPriority w:val="0"/>
    <w:pPr>
      <w:spacing w:beforeAutospacing="1" w:afterAutospacing="1"/>
      <w:jc w:val="left"/>
    </w:pPr>
    <w:rPr>
      <w:rFonts w:cs="Times New Roman"/>
      <w:kern w:val="0"/>
      <w:sz w:val="24"/>
    </w:rPr>
  </w:style>
  <w:style w:type="paragraph" w:styleId="14">
    <w:name w:val="Title"/>
    <w:basedOn w:val="1"/>
    <w:next w:val="1"/>
    <w:link w:val="26"/>
    <w:qFormat/>
    <w:uiPriority w:val="10"/>
    <w:pPr>
      <w:spacing w:before="240" w:after="60"/>
      <w:jc w:val="center"/>
      <w:outlineLvl w:val="0"/>
    </w:pPr>
    <w:rPr>
      <w:rFonts w:asciiTheme="majorHAnsi" w:hAnsiTheme="majorHAnsi" w:cstheme="majorBidi"/>
      <w:b/>
      <w:bCs/>
      <w:szCs w:val="32"/>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b/>
    </w:rPr>
  </w:style>
  <w:style w:type="character" w:styleId="19">
    <w:name w:val="page number"/>
    <w:basedOn w:val="17"/>
    <w:unhideWhenUsed/>
    <w:qFormat/>
    <w:uiPriority w:val="0"/>
    <w:rPr>
      <w:rFonts w:cs="Times New Roman"/>
    </w:rPr>
  </w:style>
  <w:style w:type="character" w:styleId="20">
    <w:name w:val="Hyperlink"/>
    <w:basedOn w:val="17"/>
    <w:unhideWhenUsed/>
    <w:qFormat/>
    <w:uiPriority w:val="99"/>
    <w:rPr>
      <w:color w:val="0000FF" w:themeColor="hyperlink"/>
      <w:u w:val="single"/>
    </w:rPr>
  </w:style>
  <w:style w:type="character" w:styleId="21">
    <w:name w:val="footnote reference"/>
    <w:basedOn w:val="17"/>
    <w:qFormat/>
    <w:uiPriority w:val="0"/>
    <w:rPr>
      <w:vertAlign w:val="superscript"/>
    </w:rPr>
  </w:style>
  <w:style w:type="character" w:customStyle="1" w:styleId="22">
    <w:name w:val="页眉 字符"/>
    <w:basedOn w:val="17"/>
    <w:link w:val="8"/>
    <w:qFormat/>
    <w:uiPriority w:val="99"/>
    <w:rPr>
      <w:sz w:val="18"/>
      <w:szCs w:val="18"/>
    </w:rPr>
  </w:style>
  <w:style w:type="character" w:customStyle="1" w:styleId="23">
    <w:name w:val="页脚 字符"/>
    <w:basedOn w:val="17"/>
    <w:link w:val="7"/>
    <w:qFormat/>
    <w:uiPriority w:val="99"/>
    <w:rPr>
      <w:sz w:val="18"/>
      <w:szCs w:val="18"/>
    </w:rPr>
  </w:style>
  <w:style w:type="character" w:customStyle="1" w:styleId="24">
    <w:name w:val="批注框文本 字符"/>
    <w:basedOn w:val="17"/>
    <w:link w:val="6"/>
    <w:semiHidden/>
    <w:qFormat/>
    <w:uiPriority w:val="99"/>
    <w:rPr>
      <w:sz w:val="18"/>
      <w:szCs w:val="18"/>
    </w:rPr>
  </w:style>
  <w:style w:type="character" w:customStyle="1" w:styleId="25">
    <w:name w:val="正文文本 2 字符"/>
    <w:basedOn w:val="17"/>
    <w:link w:val="12"/>
    <w:qFormat/>
    <w:uiPriority w:val="0"/>
    <w:rPr>
      <w:rFonts w:ascii="Times New Roman" w:hAnsi="Times New Roman" w:eastAsia="仿宋_GB2312" w:cs="Times New Roman"/>
      <w:color w:val="000000"/>
      <w:kern w:val="0"/>
      <w:sz w:val="30"/>
      <w:szCs w:val="20"/>
      <w:u w:val="none" w:color="000000"/>
    </w:rPr>
  </w:style>
  <w:style w:type="character" w:customStyle="1" w:styleId="26">
    <w:name w:val="标题 字符"/>
    <w:basedOn w:val="17"/>
    <w:link w:val="14"/>
    <w:qFormat/>
    <w:uiPriority w:val="10"/>
    <w:rPr>
      <w:rFonts w:asciiTheme="majorHAnsi" w:hAnsiTheme="majorHAnsi" w:cstheme="majorBidi"/>
      <w:b/>
      <w:bCs/>
      <w:kern w:val="2"/>
      <w:sz w:val="32"/>
      <w:szCs w:val="32"/>
    </w:rPr>
  </w:style>
  <w:style w:type="character" w:customStyle="1" w:styleId="27">
    <w:name w:val="标题 1 字符"/>
    <w:basedOn w:val="17"/>
    <w:link w:val="4"/>
    <w:qFormat/>
    <w:uiPriority w:val="9"/>
    <w:rPr>
      <w:rFonts w:ascii="Calibri" w:hAnsi="Calibri" w:eastAsia="宋体" w:cs="黑体"/>
      <w:b/>
      <w:bCs/>
      <w:kern w:val="44"/>
      <w:sz w:val="44"/>
      <w:szCs w:val="44"/>
    </w:rPr>
  </w:style>
  <w:style w:type="paragraph" w:customStyle="1" w:styleId="28">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9">
    <w:name w:val="正文文本缩进 字符"/>
    <w:basedOn w:val="17"/>
    <w:link w:val="3"/>
    <w:semiHidden/>
    <w:qFormat/>
    <w:uiPriority w:val="0"/>
    <w:rPr>
      <w:rFonts w:ascii="Calibri" w:hAnsi="Calibri" w:cs="黑体"/>
      <w:kern w:val="2"/>
      <w:sz w:val="21"/>
      <w:szCs w:val="22"/>
    </w:rPr>
  </w:style>
  <w:style w:type="character" w:customStyle="1" w:styleId="30">
    <w:name w:val="正文文本首行缩进 2 字符"/>
    <w:basedOn w:val="29"/>
    <w:link w:val="2"/>
    <w:qFormat/>
    <w:uiPriority w:val="0"/>
    <w:rPr>
      <w:rFonts w:ascii="Calibri" w:hAnsi="Calibri" w:cs="黑体"/>
      <w:kern w:val="2"/>
      <w:sz w:val="21"/>
      <w:szCs w:val="22"/>
    </w:rPr>
  </w:style>
  <w:style w:type="character" w:customStyle="1" w:styleId="31">
    <w:name w:val="标题 2 字符"/>
    <w:basedOn w:val="17"/>
    <w:qFormat/>
    <w:uiPriority w:val="9"/>
    <w:rPr>
      <w:rFonts w:asciiTheme="majorHAnsi" w:hAnsiTheme="majorHAnsi" w:eastAsiaTheme="majorEastAsia" w:cstheme="majorBidi"/>
      <w:b/>
      <w:bCs/>
      <w:kern w:val="2"/>
      <w:sz w:val="32"/>
      <w:szCs w:val="32"/>
    </w:rPr>
  </w:style>
  <w:style w:type="character" w:customStyle="1" w:styleId="32">
    <w:name w:val="脚注文本 字符"/>
    <w:basedOn w:val="17"/>
    <w:link w:val="10"/>
    <w:qFormat/>
    <w:uiPriority w:val="0"/>
    <w:rPr>
      <w:rFonts w:asciiTheme="minorHAnsi" w:hAnsiTheme="minorHAnsi" w:eastAsiaTheme="minorEastAsia" w:cstheme="minorBidi"/>
      <w:kern w:val="2"/>
      <w:sz w:val="18"/>
      <w:szCs w:val="22"/>
    </w:rPr>
  </w:style>
  <w:style w:type="character" w:customStyle="1" w:styleId="33">
    <w:name w:val="标题 2 字符1"/>
    <w:basedOn w:val="17"/>
    <w:link w:val="5"/>
    <w:qFormat/>
    <w:uiPriority w:val="9"/>
    <w:rPr>
      <w:rFonts w:eastAsia="楷体_GB2312" w:asciiTheme="majorAscii" w:hAnsiTheme="majorAscii" w:cstheme="majorBidi"/>
      <w:bCs/>
      <w:kern w:val="2"/>
      <w:sz w:val="36"/>
      <w:szCs w:val="32"/>
    </w:rPr>
  </w:style>
  <w:style w:type="character" w:customStyle="1" w:styleId="34">
    <w:name w:val="s1"/>
    <w:basedOn w:val="17"/>
    <w:qFormat/>
    <w:uiPriority w:val="0"/>
    <w:rPr>
      <w:rFonts w:hint="default" w:ascii="PingFangSC-Regular" w:hAnsi="PingFangSC-Regular" w:eastAsia="PingFangSC-Regular" w:cs="PingFangSC-Regular"/>
      <w:sz w:val="24"/>
      <w:szCs w:val="24"/>
    </w:rPr>
  </w:style>
  <w:style w:type="paragraph" w:customStyle="1" w:styleId="35">
    <w:name w:val="WPSOffice手动目录 1"/>
    <w:qFormat/>
    <w:uiPriority w:val="0"/>
    <w:rPr>
      <w:rFonts w:ascii="Times New Roman" w:hAnsi="Times New Roman" w:eastAsia="宋体" w:cs="Times New Roman"/>
      <w:lang w:val="en-US" w:eastAsia="zh-CN" w:bidi="ar-SA"/>
    </w:rPr>
  </w:style>
  <w:style w:type="paragraph" w:customStyle="1" w:styleId="3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7">
    <w:name w:val="BodyText1I"/>
    <w:basedOn w:val="38"/>
    <w:qFormat/>
    <w:uiPriority w:val="0"/>
    <w:pPr>
      <w:spacing w:after="0"/>
      <w:ind w:firstLine="420"/>
    </w:pPr>
    <w:rPr>
      <w:rFonts w:ascii="Times New Roman" w:hAnsi="Times New Roman"/>
      <w:sz w:val="32"/>
    </w:rPr>
  </w:style>
  <w:style w:type="paragraph" w:customStyle="1" w:styleId="38">
    <w:name w:val="BodyText"/>
    <w:basedOn w:val="1"/>
    <w:qFormat/>
    <w:uiPriority w:val="0"/>
    <w:pPr>
      <w:widowControl/>
      <w:spacing w:after="120" w:line="276" w:lineRule="auto"/>
      <w:jc w:val="left"/>
      <w:textAlignment w:val="baseline"/>
    </w:pPr>
    <w:rPr>
      <w:rFonts w:ascii="微软雅黑" w:hAnsi="微软雅黑" w:eastAsia="微软雅黑"/>
      <w:kern w:val="0"/>
      <w:sz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073162-4B17-4667-B31A-3C4B23F8F812}">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12</Pages>
  <Words>1014</Words>
  <Characters>5784</Characters>
  <Lines>48</Lines>
  <Paragraphs>13</Paragraphs>
  <TotalTime>3</TotalTime>
  <ScaleCrop>false</ScaleCrop>
  <LinksUpToDate>false</LinksUpToDate>
  <CharactersWithSpaces>6785</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2015-07-22T00:58:00Z</dcterms:created>
  <dc:creator>hb</dc:creator>
  <cp:lastModifiedBy>赵李川</cp:lastModifiedBy>
  <cp:lastPrinted>2021-08-02T12:24:00Z</cp:lastPrinted>
  <dcterms:modified xsi:type="dcterms:W3CDTF">2021-08-16T01:42:50Z</dcterms:modified>
  <dc:title>山西省推进采矿权抵押工作领导组</dc:title>
  <cp:revision>199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KSOSaveFontToCloudKey">
    <vt:lpwstr>244393435_btnclosed</vt:lpwstr>
  </property>
  <property fmtid="{D5CDD505-2E9C-101B-9397-08002B2CF9AE}" pid="4" name="ICV">
    <vt:lpwstr>89CCE24BB37E4E98A7473E79660F942D</vt:lpwstr>
  </property>
</Properties>
</file>